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1 -->
  <w:body>
    <w:p>
      <w:pPr>
        <w:rPr>
          <w:rFonts w:ascii="Arial" w:eastAsia="Arial" w:hAnsi="Arial" w:cs="Arial"/>
          <w:b/>
          <w:sz w:val="36"/>
        </w:rPr>
      </w:pPr>
      <w:r>
        <w:rPr>
          <w:rFonts w:ascii="Arial" w:eastAsia="Arial" w:hAnsi="Arial" w:cs="Arial"/>
          <w:b/>
          <w:sz w:val="36"/>
        </w:rPr>
        <w:t>监督索引号53010000636301900000</w:t>
      </w:r>
    </w:p>
    <w:p w14:paraId="6C8EA20C">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center"/>
        <w:textAlignment w:val="auto"/>
        <w:outlineLvl w:val="9"/>
        <w:rPr>
          <w:rFonts w:ascii="黑体" w:eastAsia="黑体" w:hAnsi="黑体" w:hint="eastAsia"/>
          <w:sz w:val="30"/>
          <w:szCs w:val="30"/>
        </w:rPr>
      </w:pPr>
    </w:p>
    <w:p w14:paraId="031F4AD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center"/>
        <w:textAlignment w:val="auto"/>
        <w:outlineLvl w:val="9"/>
        <w:rPr>
          <w:rFonts w:ascii="方正小标宋简体" w:eastAsia="方正小标宋简体" w:hAnsi="方正小标宋简体" w:cs="方正小标宋简体" w:hint="eastAsia"/>
          <w:b w:val="0"/>
          <w:bCs w:val="0"/>
          <w:sz w:val="44"/>
          <w:szCs w:val="44"/>
        </w:rPr>
      </w:pPr>
      <w:r>
        <w:rPr>
          <w:rFonts w:ascii="方正小标宋简体" w:eastAsia="方正小标宋简体" w:hAnsi="方正小标宋简体" w:cs="方正小标宋简体" w:hint="eastAsia"/>
          <w:b w:val="0"/>
          <w:bCs w:val="0"/>
          <w:sz w:val="44"/>
          <w:szCs w:val="44"/>
          <w:lang w:val="en-US" w:eastAsia="zh-CN"/>
        </w:rPr>
        <w:t>云南省精神病医院2025</w:t>
      </w:r>
      <w:r>
        <w:rPr>
          <w:rFonts w:ascii="方正小标宋简体" w:eastAsia="方正小标宋简体" w:hAnsi="方正小标宋简体" w:cs="方正小标宋简体" w:hint="eastAsia"/>
          <w:b w:val="0"/>
          <w:bCs w:val="0"/>
          <w:sz w:val="44"/>
          <w:szCs w:val="44"/>
          <w:lang w:eastAsia="zh-CN"/>
        </w:rPr>
        <w:t>年预算公开</w:t>
      </w:r>
      <w:r>
        <w:rPr>
          <w:rFonts w:ascii="方正小标宋简体" w:eastAsia="方正小标宋简体" w:hAnsi="方正小标宋简体" w:cs="方正小标宋简体" w:hint="eastAsia"/>
          <w:b w:val="0"/>
          <w:bCs w:val="0"/>
          <w:sz w:val="44"/>
          <w:szCs w:val="44"/>
        </w:rPr>
        <w:t>目录</w:t>
      </w:r>
    </w:p>
    <w:p w14:paraId="4028B0BE">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2"/>
          <w:szCs w:val="32"/>
        </w:rPr>
      </w:pPr>
    </w:p>
    <w:p w14:paraId="58923F2E">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2"/>
          <w:szCs w:val="32"/>
        </w:rPr>
      </w:pPr>
      <w:r>
        <w:rPr>
          <w:rFonts w:ascii="黑体" w:eastAsia="黑体" w:hAnsi="黑体" w:hint="eastAsia"/>
          <w:sz w:val="32"/>
          <w:szCs w:val="32"/>
        </w:rPr>
        <w:t xml:space="preserve">第一部分 </w:t>
      </w:r>
      <w:r>
        <w:rPr>
          <w:rFonts w:ascii="黑体" w:eastAsia="黑体" w:hAnsi="黑体" w:hint="eastAsia"/>
          <w:sz w:val="32"/>
          <w:szCs w:val="32"/>
          <w:lang w:val="en-US" w:eastAsia="zh-CN"/>
        </w:rPr>
        <w:t>云南省精神病医院2025</w:t>
      </w:r>
      <w:r>
        <w:rPr>
          <w:rFonts w:ascii="黑体" w:eastAsia="黑体" w:hAnsi="黑体" w:hint="eastAsia"/>
          <w:sz w:val="32"/>
          <w:szCs w:val="32"/>
        </w:rPr>
        <w:t>年部门预算编制说明</w:t>
      </w:r>
    </w:p>
    <w:p w14:paraId="04D0B874">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一、基本职能及主要工作</w:t>
      </w:r>
    </w:p>
    <w:p w14:paraId="4F8B28BB">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二、预算单位基本情况</w:t>
      </w:r>
    </w:p>
    <w:p w14:paraId="0ED945C6">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三、预算单位收入情况</w:t>
      </w:r>
    </w:p>
    <w:p w14:paraId="494FE1B6">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lang w:val="en-US" w:eastAsia="zh-CN"/>
        </w:rPr>
        <w:t>四、</w:t>
      </w:r>
      <w:r>
        <w:rPr>
          <w:rFonts w:ascii="仿宋_GB2312" w:eastAsia="仿宋_GB2312" w:hAnsi="仿宋_GB2312" w:cs="仿宋_GB2312" w:hint="eastAsia"/>
          <w:kern w:val="0"/>
          <w:sz w:val="32"/>
          <w:szCs w:val="32"/>
        </w:rPr>
        <w:t>预算单位支出情况</w:t>
      </w:r>
    </w:p>
    <w:p w14:paraId="4DC75150">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lang w:val="en-US" w:eastAsia="zh-CN"/>
        </w:rPr>
        <w:t>五、市</w:t>
      </w:r>
      <w:r>
        <w:rPr>
          <w:rFonts w:ascii="仿宋_GB2312" w:eastAsia="仿宋_GB2312" w:hAnsi="仿宋_GB2312" w:cs="仿宋_GB2312" w:hint="eastAsia"/>
          <w:kern w:val="0"/>
          <w:sz w:val="32"/>
          <w:szCs w:val="32"/>
        </w:rPr>
        <w:t>对下专项转移支付情况</w:t>
      </w:r>
    </w:p>
    <w:p w14:paraId="15729BB8">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lang w:val="en-US" w:eastAsia="zh-CN"/>
        </w:rPr>
        <w:t>六、</w:t>
      </w:r>
      <w:r>
        <w:rPr>
          <w:rFonts w:ascii="仿宋_GB2312" w:eastAsia="仿宋_GB2312" w:hAnsi="仿宋_GB2312" w:cs="仿宋_GB2312" w:hint="eastAsia"/>
          <w:kern w:val="0"/>
          <w:sz w:val="32"/>
          <w:szCs w:val="32"/>
        </w:rPr>
        <w:t>政府采购预算情况</w:t>
      </w:r>
    </w:p>
    <w:p w14:paraId="4019829C">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七、部门“三公”经费增减变化情况及原因说明</w:t>
      </w:r>
    </w:p>
    <w:p w14:paraId="4F9CCE77">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八、重点项目预算绩效目标情况</w:t>
      </w:r>
    </w:p>
    <w:p w14:paraId="3BD1E5A0">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黑体" w:eastAsia="黑体" w:hAnsi="黑体" w:hint="eastAsia"/>
          <w:sz w:val="32"/>
          <w:szCs w:val="32"/>
        </w:rPr>
      </w:pPr>
      <w:r>
        <w:rPr>
          <w:rFonts w:ascii="仿宋_GB2312" w:eastAsia="仿宋_GB2312" w:hAnsi="仿宋_GB2312" w:cs="仿宋_GB2312" w:hint="eastAsia"/>
          <w:kern w:val="0"/>
          <w:sz w:val="32"/>
          <w:szCs w:val="32"/>
        </w:rPr>
        <w:t>九、其他公开信息</w:t>
      </w:r>
    </w:p>
    <w:p w14:paraId="4E41277B">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2"/>
          <w:szCs w:val="32"/>
        </w:rPr>
      </w:pPr>
      <w:r>
        <w:rPr>
          <w:rFonts w:ascii="黑体" w:eastAsia="黑体" w:hAnsi="黑体" w:hint="eastAsia"/>
          <w:sz w:val="32"/>
          <w:szCs w:val="32"/>
        </w:rPr>
        <w:t xml:space="preserve">第二部分 </w:t>
      </w:r>
      <w:r>
        <w:rPr>
          <w:rFonts w:ascii="黑体" w:eastAsia="黑体" w:hAnsi="黑体" w:hint="eastAsia"/>
          <w:sz w:val="32"/>
          <w:szCs w:val="32"/>
          <w:lang w:val="en-US" w:eastAsia="zh-CN"/>
        </w:rPr>
        <w:t>云南省精神病医院2025</w:t>
      </w:r>
      <w:r>
        <w:rPr>
          <w:rFonts w:ascii="黑体" w:eastAsia="黑体" w:hAnsi="黑体" w:hint="eastAsia"/>
          <w:sz w:val="32"/>
          <w:szCs w:val="32"/>
        </w:rPr>
        <w:t>年部门预算表</w:t>
      </w:r>
    </w:p>
    <w:p w14:paraId="721215D3">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hint="eastAsia"/>
          <w:sz w:val="32"/>
          <w:szCs w:val="32"/>
        </w:rPr>
        <w:t>一</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lang w:eastAsia="zh-CN"/>
        </w:rPr>
        <w:t>财务收支预算总表</w:t>
      </w:r>
    </w:p>
    <w:p w14:paraId="72501AF3">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二、部门收入</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4DF40641">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三、部门支出</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57B5DE35">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四、</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rPr>
        <w:t>财政拨款收支</w:t>
      </w:r>
      <w:r>
        <w:rPr>
          <w:rFonts w:ascii="Times New Roman" w:eastAsia="仿宋_GB2312" w:hAnsi="Times New Roman" w:cs="Times New Roman" w:hint="eastAsia"/>
          <w:sz w:val="32"/>
          <w:szCs w:val="32"/>
          <w:lang w:eastAsia="zh-CN"/>
        </w:rPr>
        <w:t>预算总</w:t>
      </w:r>
      <w:r>
        <w:rPr>
          <w:rFonts w:ascii="Times New Roman" w:eastAsia="仿宋_GB2312" w:hAnsi="Times New Roman" w:cs="Times New Roman" w:hint="eastAsia"/>
          <w:sz w:val="32"/>
          <w:szCs w:val="32"/>
        </w:rPr>
        <w:t>表</w:t>
      </w:r>
    </w:p>
    <w:p w14:paraId="70DB2FDF">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r>
        <w:rPr>
          <w:rFonts w:ascii="Times New Roman" w:eastAsia="仿宋_GB2312" w:hAnsi="Times New Roman" w:cs="Times New Roman" w:hint="eastAsia"/>
          <w:sz w:val="32"/>
          <w:szCs w:val="32"/>
        </w:rPr>
        <w:t>五、一般公共预算支出</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表（按功能科目分类）</w:t>
      </w:r>
    </w:p>
    <w:p w14:paraId="302111B0">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六、一般公共预算“三公”经费支出</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74585944">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lang w:eastAsia="zh-CN"/>
        </w:rPr>
        <w:t>七、</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rPr>
        <w:t>基本支出</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628E011F">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r>
        <w:rPr>
          <w:rFonts w:ascii="Times New Roman" w:eastAsia="仿宋_GB2312" w:hAnsi="Times New Roman" w:cs="Times New Roman" w:hint="eastAsia"/>
          <w:sz w:val="32"/>
          <w:szCs w:val="32"/>
          <w:lang w:eastAsia="zh-CN"/>
        </w:rPr>
        <w:t>八</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lang w:eastAsia="zh-CN"/>
        </w:rPr>
        <w:t>项目支出预算表</w:t>
      </w:r>
    </w:p>
    <w:p w14:paraId="1B694C1F">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lang w:eastAsia="zh-CN"/>
        </w:rPr>
        <w:t>九</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rPr>
        <w:t>项目支出绩效目标表</w:t>
      </w:r>
    </w:p>
    <w:p w14:paraId="4ED90EE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十、</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rPr>
        <w:t>政府性基金预算支出</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39653B5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十</w:t>
      </w:r>
      <w:r>
        <w:rPr>
          <w:rFonts w:ascii="Times New Roman" w:eastAsia="仿宋_GB2312" w:hAnsi="Times New Roman" w:cs="Times New Roman" w:hint="eastAsia"/>
          <w:sz w:val="32"/>
          <w:szCs w:val="32"/>
          <w:lang w:eastAsia="zh-CN"/>
        </w:rPr>
        <w:t>一</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rPr>
        <w:t>政府采购</w:t>
      </w:r>
      <w:r>
        <w:rPr>
          <w:rFonts w:ascii="Times New Roman" w:eastAsia="仿宋_GB2312" w:hAnsi="Times New Roman" w:cs="Times New Roman" w:hint="eastAsia"/>
          <w:sz w:val="32"/>
          <w:szCs w:val="32"/>
          <w:lang w:eastAsia="zh-CN"/>
        </w:rPr>
        <w:t>预算</w:t>
      </w:r>
      <w:r>
        <w:rPr>
          <w:rFonts w:ascii="Times New Roman" w:eastAsia="仿宋_GB2312" w:hAnsi="Times New Roman" w:cs="Times New Roman" w:hint="eastAsia"/>
          <w:sz w:val="32"/>
          <w:szCs w:val="32"/>
        </w:rPr>
        <w:t>表</w:t>
      </w:r>
    </w:p>
    <w:p w14:paraId="4E21706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lang w:eastAsia="zh-CN"/>
        </w:rPr>
        <w:t>十二、</w:t>
      </w:r>
      <w:r>
        <w:rPr>
          <w:rFonts w:ascii="Times New Roman" w:eastAsia="仿宋_GB2312" w:hAnsi="Times New Roman" w:cs="Times New Roman" w:hint="eastAsia"/>
          <w:sz w:val="32"/>
          <w:szCs w:val="32"/>
          <w:lang w:val="en-US" w:eastAsia="zh-CN"/>
        </w:rPr>
        <w:t>部门</w:t>
      </w:r>
      <w:r>
        <w:rPr>
          <w:rFonts w:ascii="Times New Roman" w:eastAsia="仿宋_GB2312" w:hAnsi="Times New Roman" w:cs="Times New Roman" w:hint="eastAsia"/>
          <w:sz w:val="32"/>
          <w:szCs w:val="32"/>
          <w:lang w:eastAsia="zh-CN"/>
        </w:rPr>
        <w:t>政府购买服务预算表</w:t>
      </w:r>
    </w:p>
    <w:p w14:paraId="1D7B49E8">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eastAsia="zh-CN"/>
        </w:rPr>
      </w:pPr>
      <w:r>
        <w:rPr>
          <w:rFonts w:ascii="Times New Roman" w:eastAsia="仿宋_GB2312" w:hAnsi="Times New Roman" w:hint="eastAsia"/>
          <w:sz w:val="32"/>
          <w:szCs w:val="32"/>
        </w:rPr>
        <w:t>十</w:t>
      </w:r>
      <w:r>
        <w:rPr>
          <w:rFonts w:ascii="Times New Roman" w:eastAsia="仿宋_GB2312" w:hAnsi="Times New Roman" w:hint="eastAsia"/>
          <w:sz w:val="32"/>
          <w:szCs w:val="32"/>
          <w:lang w:eastAsia="zh-CN"/>
        </w:rPr>
        <w:t>三</w:t>
      </w:r>
      <w:r>
        <w:rPr>
          <w:rFonts w:ascii="Times New Roman" w:eastAsia="仿宋_GB2312" w:hAnsi="Times New Roman" w:hint="eastAsia"/>
          <w:sz w:val="32"/>
          <w:szCs w:val="32"/>
        </w:rPr>
        <w:t>、</w:t>
      </w:r>
      <w:r>
        <w:rPr>
          <w:rFonts w:ascii="Times New Roman" w:eastAsia="仿宋_GB2312" w:hAnsi="Times New Roman" w:hint="eastAsia"/>
          <w:sz w:val="32"/>
          <w:szCs w:val="32"/>
          <w:lang w:eastAsia="zh-CN"/>
        </w:rPr>
        <w:t>市对下转移支付预算表</w:t>
      </w:r>
    </w:p>
    <w:p w14:paraId="7F82A77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rPr>
      </w:pPr>
      <w:r>
        <w:rPr>
          <w:rFonts w:ascii="Times New Roman" w:eastAsia="仿宋_GB2312" w:hAnsi="Times New Roman" w:cs="Times New Roman" w:hint="eastAsia"/>
          <w:sz w:val="32"/>
          <w:szCs w:val="32"/>
        </w:rPr>
        <w:t>十</w:t>
      </w:r>
      <w:r>
        <w:rPr>
          <w:rFonts w:ascii="Times New Roman" w:eastAsia="仿宋_GB2312" w:hAnsi="Times New Roman" w:cs="Times New Roman" w:hint="eastAsia"/>
          <w:sz w:val="32"/>
          <w:szCs w:val="32"/>
          <w:lang w:eastAsia="zh-CN"/>
        </w:rPr>
        <w:t>四</w:t>
      </w:r>
      <w:r>
        <w:rPr>
          <w:rFonts w:ascii="Times New Roman" w:eastAsia="仿宋_GB2312" w:hAnsi="Times New Roman" w:cs="Times New Roman" w:hint="eastAsia"/>
          <w:sz w:val="32"/>
          <w:szCs w:val="32"/>
        </w:rPr>
        <w:t>、</w:t>
      </w:r>
      <w:r>
        <w:rPr>
          <w:rFonts w:ascii="Times New Roman" w:eastAsia="仿宋_GB2312" w:hAnsi="Times New Roman" w:hint="eastAsia"/>
          <w:sz w:val="32"/>
          <w:szCs w:val="32"/>
          <w:lang w:eastAsia="zh-CN"/>
        </w:rPr>
        <w:t>市</w:t>
      </w:r>
      <w:r>
        <w:rPr>
          <w:rFonts w:ascii="Times New Roman" w:eastAsia="仿宋_GB2312" w:hAnsi="Times New Roman" w:cs="Times New Roman" w:hint="eastAsia"/>
          <w:sz w:val="32"/>
          <w:szCs w:val="32"/>
        </w:rPr>
        <w:t>对下转移支付绩效目标表</w:t>
      </w:r>
    </w:p>
    <w:p w14:paraId="51002B4B">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r>
        <w:rPr>
          <w:rFonts w:ascii="Times New Roman" w:eastAsia="仿宋_GB2312" w:hAnsi="Times New Roman" w:cs="Times New Roman" w:hint="eastAsia"/>
          <w:sz w:val="32"/>
          <w:szCs w:val="32"/>
          <w:lang w:eastAsia="zh-CN"/>
        </w:rPr>
        <w:t>十五、新增资产配置表</w:t>
      </w:r>
    </w:p>
    <w:p w14:paraId="7950500B">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r>
        <w:rPr>
          <w:rFonts w:ascii="Times New Roman" w:eastAsia="仿宋_GB2312" w:hAnsi="Times New Roman" w:cs="Times New Roman" w:hint="eastAsia"/>
          <w:sz w:val="32"/>
          <w:szCs w:val="32"/>
          <w:lang w:eastAsia="zh-CN"/>
        </w:rPr>
        <w:t>十六、上级转移支付补助项目支出预算表</w:t>
      </w:r>
    </w:p>
    <w:p w14:paraId="683F6C8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r>
        <w:rPr>
          <w:rFonts w:ascii="Times New Roman" w:eastAsia="仿宋_GB2312" w:hAnsi="Times New Roman" w:cs="Times New Roman" w:hint="eastAsia"/>
          <w:sz w:val="32"/>
          <w:szCs w:val="32"/>
          <w:lang w:eastAsia="zh-CN"/>
        </w:rPr>
        <w:t>十七、部门项目中期规划预算表</w:t>
      </w:r>
    </w:p>
    <w:p w14:paraId="0D87FEEB">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288CD9B3">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703CD2B5">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106F8001">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7EBE42C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53B787D4">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22E4B49C">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579454E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22DFBB61">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508E549E">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65763543">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cs="Times New Roman" w:hint="eastAsia"/>
          <w:sz w:val="32"/>
          <w:szCs w:val="32"/>
          <w:lang w:eastAsia="zh-CN"/>
        </w:rPr>
      </w:pPr>
    </w:p>
    <w:p w14:paraId="7DF3B46D">
      <w:pPr>
        <w:keepNext w:val="0"/>
        <w:keepLines w:val="0"/>
        <w:pageBreakBefore w:val="0"/>
        <w:widowControl w:val="0"/>
        <w:kinsoku/>
        <w:wordWrap/>
        <w:overflowPunct/>
        <w:topLinePunct w:val="0"/>
        <w:autoSpaceDE/>
        <w:autoSpaceDN/>
        <w:bidi w:val="0"/>
        <w:adjustRightInd/>
        <w:spacing w:line="590" w:lineRule="exact"/>
        <w:jc w:val="left"/>
        <w:textAlignment w:val="auto"/>
        <w:rPr>
          <w:rFonts w:ascii="黑体" w:eastAsia="黑体" w:hAnsi="黑体" w:cs="黑体" w:hint="eastAsia"/>
          <w:kern w:val="0"/>
          <w:sz w:val="32"/>
          <w:szCs w:val="32"/>
        </w:rPr>
      </w:pPr>
    </w:p>
    <w:p w14:paraId="41534465">
      <w:pPr>
        <w:keepNext w:val="0"/>
        <w:keepLines w:val="0"/>
        <w:pageBreakBefore w:val="0"/>
        <w:widowControl w:val="0"/>
        <w:kinsoku/>
        <w:wordWrap/>
        <w:overflowPunct/>
        <w:topLinePunct w:val="0"/>
        <w:autoSpaceDE/>
        <w:autoSpaceDN/>
        <w:bidi w:val="0"/>
        <w:adjustRightInd/>
        <w:spacing w:line="590" w:lineRule="exact"/>
        <w:jc w:val="both"/>
        <w:textAlignment w:val="auto"/>
        <w:rPr>
          <w:rFonts w:ascii="方正小标宋简体" w:eastAsia="方正小标宋简体" w:hint="eastAsia"/>
          <w:kern w:val="0"/>
          <w:sz w:val="44"/>
          <w:szCs w:val="44"/>
        </w:rPr>
      </w:pPr>
      <w:r>
        <w:rPr>
          <w:rFonts w:ascii="方正小标宋简体" w:eastAsia="方正小标宋简体" w:hint="eastAsia"/>
          <w:kern w:val="0"/>
          <w:sz w:val="44"/>
          <w:szCs w:val="44"/>
          <w:lang w:val="en-US" w:eastAsia="zh-CN"/>
        </w:rPr>
        <w:t>云南省精神病医院2025</w:t>
      </w:r>
      <w:r>
        <w:rPr>
          <w:rFonts w:ascii="方正小标宋简体" w:eastAsia="方正小标宋简体" w:hint="eastAsia"/>
          <w:kern w:val="0"/>
          <w:sz w:val="44"/>
          <w:szCs w:val="44"/>
        </w:rPr>
        <w:t>年部门预算编制说明</w:t>
      </w:r>
    </w:p>
    <w:p w14:paraId="7598EA34">
      <w:pPr>
        <w:keepNext w:val="0"/>
        <w:keepLines w:val="0"/>
        <w:pageBreakBefore w:val="0"/>
        <w:widowControl w:val="0"/>
        <w:kinsoku/>
        <w:wordWrap/>
        <w:overflowPunct/>
        <w:topLinePunct w:val="0"/>
        <w:autoSpaceDE/>
        <w:autoSpaceDN/>
        <w:bidi w:val="0"/>
        <w:adjustRightInd/>
        <w:spacing w:line="590" w:lineRule="exact"/>
        <w:ind w:firstLine="720" w:firstLineChars="200"/>
        <w:jc w:val="center"/>
        <w:textAlignment w:val="auto"/>
        <w:rPr>
          <w:rFonts w:ascii="方正小标宋简体" w:eastAsia="方正小标宋简体" w:hint="eastAsia"/>
          <w:kern w:val="0"/>
          <w:sz w:val="36"/>
          <w:szCs w:val="36"/>
        </w:rPr>
      </w:pPr>
    </w:p>
    <w:p w14:paraId="79EE36D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一、基本职能及主要工作</w:t>
      </w:r>
    </w:p>
    <w:p w14:paraId="6AE6431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（一）部门主要职责</w:t>
      </w:r>
    </w:p>
    <w:p w14:paraId="71F6CF90">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1、开展精神心理疾病方面的治疗与护理、酒精药物依赖的治疗与戒断工作，为人民群众身体健康提供医疗与护理保健服务。</w:t>
      </w:r>
    </w:p>
    <w:p w14:paraId="41A439E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2、负责精神医学司法鉴定工作。</w:t>
      </w:r>
    </w:p>
    <w:p w14:paraId="7107B9C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3、为医学院校学生和成人医科学历教育提供医学教学、临床实习服务；为卫生医疗人员提供继续教育、培训、保健、健康教育服务。</w:t>
      </w:r>
    </w:p>
    <w:p w14:paraId="0300FEA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4、完成上级交办的其他工作。</w:t>
      </w:r>
    </w:p>
    <w:p w14:paraId="4770196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（二）机构设置情况</w:t>
      </w:r>
    </w:p>
    <w:p w14:paraId="7FD97963">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我部门共设置</w:t>
      </w:r>
      <w:r>
        <w:rPr>
          <w:rFonts w:eastAsia="仿宋_GB2312" w:cs="Times New Roman" w:hint="eastAsia"/>
          <w:kern w:val="0"/>
          <w:sz w:val="32"/>
          <w:szCs w:val="32"/>
          <w:highlight w:val="none"/>
          <w:lang w:val="en-US" w:eastAsia="zh-CN"/>
        </w:rPr>
        <w:t>15</w:t>
      </w:r>
      <w:r>
        <w:rPr>
          <w:rFonts w:ascii="Times New Roman" w:eastAsia="仿宋_GB2312" w:hAnsi="Times New Roman" w:cs="Times New Roman" w:hint="eastAsia"/>
          <w:kern w:val="0"/>
          <w:sz w:val="32"/>
          <w:szCs w:val="32"/>
          <w:highlight w:val="none"/>
          <w:lang w:val="en-US" w:eastAsia="zh-CN"/>
        </w:rPr>
        <w:t>个内设机构，包括：党委办公室、院办公室、医务部、科教部、护理部、控感办、公共卫生科、纪检监察审计室、人力资源部、财务部、医保办、采购办、信息科、老干科、综合保障部。</w:t>
      </w:r>
    </w:p>
    <w:p w14:paraId="0696FF33">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所属单位</w:t>
      </w:r>
      <w:r>
        <w:rPr>
          <w:rFonts w:eastAsia="仿宋_GB2312" w:cs="Times New Roman" w:hint="eastAsia"/>
          <w:kern w:val="0"/>
          <w:sz w:val="32"/>
          <w:szCs w:val="32"/>
          <w:highlight w:val="none"/>
          <w:lang w:val="en-US" w:eastAsia="zh-CN"/>
        </w:rPr>
        <w:t>0个</w:t>
      </w:r>
      <w:r>
        <w:rPr>
          <w:rFonts w:ascii="Times New Roman" w:eastAsia="仿宋_GB2312" w:hAnsi="Times New Roman" w:cs="Times New Roman" w:hint="eastAsia"/>
          <w:kern w:val="0"/>
          <w:sz w:val="32"/>
          <w:szCs w:val="32"/>
          <w:highlight w:val="none"/>
          <w:lang w:val="en-US" w:eastAsia="zh-CN"/>
        </w:rPr>
        <w:t>。</w:t>
      </w:r>
    </w:p>
    <w:p w14:paraId="1160F91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（三）重点工作概述</w:t>
      </w:r>
    </w:p>
    <w:p w14:paraId="7CFE2F4D">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eastAsia="仿宋_GB2312" w:cs="Times New Roman" w:hint="eastAsia"/>
          <w:kern w:val="0"/>
          <w:sz w:val="32"/>
          <w:szCs w:val="32"/>
          <w:highlight w:val="none"/>
          <w:lang w:val="en-US" w:eastAsia="zh-CN"/>
        </w:rPr>
        <w:t>1、</w:t>
      </w:r>
      <w:r>
        <w:rPr>
          <w:rFonts w:ascii="Times New Roman" w:eastAsia="仿宋_GB2312" w:hAnsi="Times New Roman" w:cs="Times New Roman" w:hint="eastAsia"/>
          <w:kern w:val="0"/>
          <w:sz w:val="32"/>
          <w:szCs w:val="32"/>
          <w:highlight w:val="none"/>
          <w:lang w:val="en-US" w:eastAsia="zh-CN"/>
        </w:rPr>
        <w:t>党建引领，清廉护航，为医院高质量发展提效赋能</w:t>
      </w:r>
    </w:p>
    <w:p w14:paraId="7307F651">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一是</w:t>
      </w:r>
      <w:r>
        <w:rPr>
          <w:rFonts w:ascii="Times New Roman" w:eastAsia="仿宋_GB2312" w:hAnsi="Times New Roman" w:cs="Times New Roman" w:hint="default"/>
          <w:kern w:val="0"/>
          <w:sz w:val="32"/>
          <w:szCs w:val="32"/>
          <w:highlight w:val="none"/>
          <w:lang w:val="en-US" w:eastAsia="zh-CN"/>
        </w:rPr>
        <w:t>提升党建赋“能”，推动业务固“本”。医院要坚持把强化党建引领作为提升医院中心建设和运营水平的有效途径，不断通过更新观念、创新思维、精准对接人民群众健康需求，着力将党的政治优势和组织优势转化为全方位推动医院高质量发展的强大动力，实现医院快速发展与突破。</w:t>
      </w:r>
      <w:r>
        <w:rPr>
          <w:rFonts w:ascii="Times New Roman" w:eastAsia="仿宋_GB2312" w:hAnsi="Times New Roman" w:cs="Times New Roman" w:hint="eastAsia"/>
          <w:kern w:val="0"/>
          <w:sz w:val="32"/>
          <w:szCs w:val="32"/>
          <w:highlight w:val="none"/>
          <w:lang w:val="en-US" w:eastAsia="zh-CN"/>
        </w:rPr>
        <w:t>二是纵深推进全面从严治党，</w:t>
      </w:r>
      <w:r>
        <w:rPr>
          <w:rFonts w:ascii="Times New Roman" w:eastAsia="仿宋_GB2312" w:hAnsi="Times New Roman" w:cs="Times New Roman" w:hint="default"/>
          <w:kern w:val="0"/>
          <w:sz w:val="32"/>
          <w:szCs w:val="32"/>
          <w:highlight w:val="none"/>
          <w:lang w:val="en-US" w:eastAsia="zh-CN"/>
        </w:rPr>
        <w:t>立足医院实际</w:t>
      </w:r>
      <w:r>
        <w:rPr>
          <w:rFonts w:ascii="Times New Roman" w:eastAsia="仿宋_GB2312" w:hAnsi="Times New Roman" w:cs="Times New Roman" w:hint="eastAsia"/>
          <w:kern w:val="0"/>
          <w:sz w:val="32"/>
          <w:szCs w:val="32"/>
          <w:highlight w:val="none"/>
          <w:lang w:val="en-US" w:eastAsia="zh-CN"/>
        </w:rPr>
        <w:t>，围绕</w:t>
      </w:r>
      <w:r>
        <w:rPr>
          <w:rFonts w:ascii="Times New Roman" w:eastAsia="仿宋_GB2312" w:hAnsi="Times New Roman" w:cs="Times New Roman" w:hint="default"/>
          <w:kern w:val="0"/>
          <w:sz w:val="32"/>
          <w:szCs w:val="32"/>
          <w:highlight w:val="none"/>
          <w:lang w:val="en-US" w:eastAsia="zh-CN"/>
        </w:rPr>
        <w:t>“四</w:t>
      </w:r>
      <w:r>
        <w:rPr>
          <w:rFonts w:ascii="Times New Roman" w:eastAsia="仿宋_GB2312" w:hAnsi="Times New Roman" w:cs="Times New Roman" w:hint="eastAsia"/>
          <w:kern w:val="0"/>
          <w:sz w:val="32"/>
          <w:szCs w:val="32"/>
          <w:highlight w:val="none"/>
          <w:lang w:val="en-US" w:eastAsia="zh-CN"/>
        </w:rPr>
        <w:t>个</w:t>
      </w:r>
      <w:r>
        <w:rPr>
          <w:rFonts w:ascii="Times New Roman" w:eastAsia="仿宋_GB2312" w:hAnsi="Times New Roman" w:cs="Times New Roman" w:hint="default"/>
          <w:kern w:val="0"/>
          <w:sz w:val="32"/>
          <w:szCs w:val="32"/>
          <w:highlight w:val="none"/>
          <w:lang w:val="en-US" w:eastAsia="zh-CN"/>
        </w:rPr>
        <w:t>聚焦”多角度发力，全方位助力</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清廉医院</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打造</w:t>
      </w:r>
      <w:r>
        <w:rPr>
          <w:rFonts w:ascii="Times New Roman" w:eastAsia="仿宋_GB2312" w:hAnsi="Times New Roman" w:cs="Times New Roman" w:hint="eastAsia"/>
          <w:kern w:val="0"/>
          <w:sz w:val="32"/>
          <w:szCs w:val="32"/>
          <w:highlight w:val="none"/>
          <w:lang w:val="en-US" w:eastAsia="zh-CN"/>
        </w:rPr>
        <w:t>。</w:t>
      </w:r>
    </w:p>
    <w:p w14:paraId="717CF422">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eastAsia"/>
          <w:kern w:val="0"/>
          <w:sz w:val="32"/>
          <w:szCs w:val="32"/>
          <w:highlight w:val="none"/>
          <w:lang w:val="en-US" w:eastAsia="zh-CN"/>
        </w:rPr>
      </w:pPr>
      <w:r>
        <w:rPr>
          <w:rFonts w:eastAsia="仿宋_GB2312" w:cs="Times New Roman" w:hint="eastAsia"/>
          <w:kern w:val="0"/>
          <w:sz w:val="32"/>
          <w:szCs w:val="32"/>
          <w:highlight w:val="none"/>
          <w:lang w:val="en-US" w:eastAsia="zh-CN"/>
        </w:rPr>
        <w:t>2</w:t>
      </w:r>
      <w:r>
        <w:rPr>
          <w:rFonts w:ascii="Times New Roman" w:eastAsia="仿宋_GB2312" w:hAnsi="Times New Roman" w:cs="Times New Roman" w:hint="eastAsia"/>
          <w:kern w:val="0"/>
          <w:sz w:val="32"/>
          <w:szCs w:val="32"/>
          <w:highlight w:val="none"/>
          <w:lang w:val="en-US" w:eastAsia="zh-CN"/>
        </w:rPr>
        <w:t>、找准定位，内外兼修，推动医院高质量发展实践探索</w:t>
      </w:r>
    </w:p>
    <w:p w14:paraId="128F6CE1">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一是</w:t>
      </w:r>
      <w:r>
        <w:rPr>
          <w:rFonts w:ascii="Times New Roman" w:eastAsia="仿宋_GB2312" w:hAnsi="Times New Roman" w:cs="Times New Roman" w:hint="default"/>
          <w:kern w:val="0"/>
          <w:sz w:val="32"/>
          <w:szCs w:val="32"/>
          <w:highlight w:val="none"/>
          <w:lang w:val="en-US" w:eastAsia="zh-CN"/>
        </w:rPr>
        <w:t>以</w:t>
      </w:r>
      <w:r>
        <w:rPr>
          <w:rFonts w:ascii="Times New Roman" w:eastAsia="仿宋_GB2312" w:hAnsi="Times New Roman" w:cs="Times New Roman" w:hint="eastAsia"/>
          <w:kern w:val="0"/>
          <w:sz w:val="32"/>
          <w:szCs w:val="32"/>
          <w:highlight w:val="none"/>
          <w:lang w:val="en-US" w:eastAsia="zh-CN"/>
        </w:rPr>
        <w:t>三级</w:t>
      </w:r>
      <w:r>
        <w:rPr>
          <w:rFonts w:ascii="Times New Roman" w:eastAsia="仿宋_GB2312" w:hAnsi="Times New Roman" w:cs="Times New Roman" w:hint="default"/>
          <w:kern w:val="0"/>
          <w:sz w:val="32"/>
          <w:szCs w:val="32"/>
          <w:highlight w:val="none"/>
          <w:lang w:val="en-US" w:eastAsia="zh-CN"/>
        </w:rPr>
        <w:t>公立医院绩效考核为导向，落实精细化管理。严格落实“两个允许”</w:t>
      </w:r>
      <w:r>
        <w:rPr>
          <w:rFonts w:eastAsia="仿宋_GB2312"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充分发挥三级公立医院绩效考核</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指挥棒</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的作用，以“国考”标准引领医院逐步走上现代化管理之路</w:t>
      </w:r>
      <w:r>
        <w:rPr>
          <w:rFonts w:ascii="Times New Roman" w:eastAsia="仿宋_GB2312" w:hAnsi="Times New Roman" w:cs="Times New Roman" w:hint="eastAsia"/>
          <w:kern w:val="0"/>
          <w:sz w:val="32"/>
          <w:szCs w:val="32"/>
          <w:highlight w:val="none"/>
          <w:lang w:val="en-US" w:eastAsia="zh-CN"/>
        </w:rPr>
        <w:t>。二是</w:t>
      </w:r>
      <w:r>
        <w:rPr>
          <w:rFonts w:ascii="Times New Roman" w:eastAsia="仿宋_GB2312" w:hAnsi="Times New Roman" w:cs="Times New Roman" w:hint="default"/>
          <w:kern w:val="0"/>
          <w:sz w:val="32"/>
          <w:szCs w:val="32"/>
          <w:highlight w:val="none"/>
          <w:lang w:val="en-US" w:eastAsia="zh-CN"/>
        </w:rPr>
        <w:t>促进运营管理与绩效管理双向提升，增强医院核心竞争优势。通过</w:t>
      </w:r>
      <w:r>
        <w:rPr>
          <w:rFonts w:ascii="Times New Roman" w:eastAsia="仿宋_GB2312" w:hAnsi="Times New Roman" w:cs="Times New Roman" w:hint="eastAsia"/>
          <w:kern w:val="0"/>
          <w:sz w:val="32"/>
          <w:szCs w:val="32"/>
          <w:highlight w:val="none"/>
          <w:lang w:val="en-US" w:eastAsia="zh-CN"/>
        </w:rPr>
        <w:t>持续推进全面预算管理，</w:t>
      </w:r>
      <w:r>
        <w:rPr>
          <w:rFonts w:ascii="Times New Roman" w:eastAsia="仿宋_GB2312" w:hAnsi="Times New Roman" w:cs="Times New Roman" w:hint="default"/>
          <w:kern w:val="0"/>
          <w:sz w:val="32"/>
          <w:szCs w:val="32"/>
          <w:highlight w:val="none"/>
          <w:lang w:val="en-US" w:eastAsia="zh-CN"/>
        </w:rPr>
        <w:t>深入分析医院运营及绩效管理模式中存在的问题，建立科学高效的内部运行新机制</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不断提高临床科室对DRG相关指标的重视程度，进一步减少以收入为导向的过度诊疗、医务人员用药不合理行为。</w:t>
      </w:r>
      <w:r>
        <w:rPr>
          <w:rFonts w:ascii="Times New Roman" w:eastAsia="仿宋_GB2312" w:hAnsi="Times New Roman" w:cs="Times New Roman" w:hint="eastAsia"/>
          <w:kern w:val="0"/>
          <w:sz w:val="32"/>
          <w:szCs w:val="32"/>
          <w:highlight w:val="none"/>
          <w:lang w:val="en-US" w:eastAsia="zh-CN"/>
        </w:rPr>
        <w:t>三是</w:t>
      </w:r>
      <w:r>
        <w:rPr>
          <w:rFonts w:ascii="Times New Roman" w:eastAsia="仿宋_GB2312" w:hAnsi="Times New Roman" w:cs="Times New Roman" w:hint="default"/>
          <w:kern w:val="0"/>
          <w:sz w:val="32"/>
          <w:szCs w:val="32"/>
          <w:highlight w:val="none"/>
          <w:lang w:val="en-US" w:eastAsia="zh-CN"/>
        </w:rPr>
        <w:t>强化信息化支撑作用，助力信息技术与医疗服务深度融合。</w:t>
      </w:r>
      <w:r>
        <w:rPr>
          <w:rFonts w:ascii="Times New Roman" w:eastAsia="仿宋_GB2312" w:hAnsi="Times New Roman" w:cs="Times New Roman" w:hint="eastAsia"/>
          <w:kern w:val="0"/>
          <w:sz w:val="32"/>
          <w:szCs w:val="32"/>
          <w:highlight w:val="none"/>
          <w:lang w:val="en-US" w:eastAsia="zh-CN"/>
        </w:rPr>
        <w:t>以“七彩心医”平台为依托，逐步拓展互联网医院业务内容，抓好以信息化手段助推就医便利化，</w:t>
      </w:r>
      <w:r>
        <w:rPr>
          <w:rFonts w:ascii="Times New Roman" w:eastAsia="仿宋_GB2312" w:hAnsi="Times New Roman" w:cs="Times New Roman" w:hint="default"/>
          <w:kern w:val="0"/>
          <w:sz w:val="32"/>
          <w:szCs w:val="32"/>
          <w:highlight w:val="none"/>
          <w:lang w:val="en-US" w:eastAsia="zh-CN"/>
        </w:rPr>
        <w:t>持续推进信息化建设</w:t>
      </w:r>
      <w:r>
        <w:rPr>
          <w:rFonts w:eastAsia="仿宋_GB2312"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深度融入医院改革与精细化管理的全过程、全链条</w:t>
      </w:r>
      <w:r>
        <w:rPr>
          <w:rFonts w:ascii="Times New Roman" w:eastAsia="仿宋_GB2312" w:hAnsi="Times New Roman" w:cs="Times New Roman" w:hint="eastAsia"/>
          <w:kern w:val="0"/>
          <w:sz w:val="32"/>
          <w:szCs w:val="32"/>
          <w:highlight w:val="none"/>
          <w:lang w:val="en-US" w:eastAsia="zh-CN"/>
        </w:rPr>
        <w:t>。四是</w:t>
      </w:r>
      <w:r>
        <w:rPr>
          <w:rFonts w:ascii="Times New Roman" w:eastAsia="仿宋_GB2312" w:hAnsi="Times New Roman" w:cs="Times New Roman" w:hint="default"/>
          <w:kern w:val="0"/>
          <w:sz w:val="32"/>
          <w:szCs w:val="32"/>
          <w:highlight w:val="none"/>
          <w:lang w:val="en-US" w:eastAsia="zh-CN"/>
        </w:rPr>
        <w:t>突出医防协同的社会功能，扩大品牌影响力。通过不断完善严重精神障碍管理工作机制，提升多部门协调和管理能力，积极推动分级诊疗、双向转诊工作，完成复核诊断、疗效评估、危险性评估等工作任务。</w:t>
      </w:r>
    </w:p>
    <w:p w14:paraId="7DB30536">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eastAsia="仿宋_GB2312" w:cs="Times New Roman" w:hint="eastAsia"/>
          <w:kern w:val="0"/>
          <w:sz w:val="32"/>
          <w:szCs w:val="32"/>
          <w:highlight w:val="none"/>
          <w:lang w:val="en-US" w:eastAsia="zh-CN"/>
        </w:rPr>
        <w:t>3</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对标践行，注重落实，勠力齐心推进“三甲”</w:t>
      </w:r>
      <w:r>
        <w:rPr>
          <w:rFonts w:ascii="Times New Roman" w:eastAsia="仿宋_GB2312" w:hAnsi="Times New Roman" w:cs="Times New Roman" w:hint="eastAsia"/>
          <w:kern w:val="0"/>
          <w:sz w:val="32"/>
          <w:szCs w:val="32"/>
          <w:highlight w:val="none"/>
          <w:lang w:val="en-US" w:eastAsia="zh-CN"/>
        </w:rPr>
        <w:t>复审</w:t>
      </w:r>
    </w:p>
    <w:p w14:paraId="635283D8">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 xml:space="preserve"> 一是</w:t>
      </w:r>
      <w:r>
        <w:rPr>
          <w:rFonts w:ascii="Times New Roman" w:eastAsia="仿宋_GB2312" w:hAnsi="Times New Roman" w:cs="Times New Roman" w:hint="default"/>
          <w:kern w:val="0"/>
          <w:sz w:val="32"/>
          <w:szCs w:val="32"/>
          <w:highlight w:val="none"/>
          <w:lang w:val="en-US" w:eastAsia="zh-CN"/>
        </w:rPr>
        <w:t>全院上下戮力同心、协调配合，全力推进等级医院复审工作。坚持用“以评促建、以评促改、评建</w:t>
      </w:r>
      <w:r>
        <w:rPr>
          <w:rFonts w:ascii="Times New Roman" w:eastAsia="仿宋_GB2312" w:hAnsi="Times New Roman" w:cs="Times New Roman" w:hint="eastAsia"/>
          <w:kern w:val="0"/>
          <w:sz w:val="32"/>
          <w:szCs w:val="32"/>
          <w:highlight w:val="none"/>
          <w:lang w:val="en-US" w:eastAsia="zh-CN"/>
        </w:rPr>
        <w:t>结</w:t>
      </w:r>
      <w:r>
        <w:rPr>
          <w:rFonts w:ascii="Times New Roman" w:eastAsia="仿宋_GB2312" w:hAnsi="Times New Roman" w:cs="Times New Roman" w:hint="default"/>
          <w:kern w:val="0"/>
          <w:sz w:val="32"/>
          <w:szCs w:val="32"/>
          <w:highlight w:val="none"/>
          <w:lang w:val="en-US" w:eastAsia="zh-CN"/>
        </w:rPr>
        <w:t>合、重在内涵”为指导思想，对照“三甲”医院新的评审细则，明确创建任务和目标，补短板、强弱项</w:t>
      </w:r>
      <w:r>
        <w:rPr>
          <w:rFonts w:eastAsia="仿宋_GB2312"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完善工作体系</w:t>
      </w:r>
      <w:r>
        <w:rPr>
          <w:rFonts w:ascii="Times New Roman" w:eastAsia="仿宋_GB2312" w:hAnsi="Times New Roman" w:cs="Times New Roman" w:hint="eastAsia"/>
          <w:kern w:val="0"/>
          <w:sz w:val="32"/>
          <w:szCs w:val="32"/>
          <w:highlight w:val="none"/>
          <w:lang w:val="en-US" w:eastAsia="zh-CN"/>
        </w:rPr>
        <w:t>。二是</w:t>
      </w:r>
      <w:r>
        <w:rPr>
          <w:rFonts w:ascii="Times New Roman" w:eastAsia="仿宋_GB2312" w:hAnsi="Times New Roman" w:cs="Times New Roman" w:hint="default"/>
          <w:kern w:val="0"/>
          <w:sz w:val="32"/>
          <w:szCs w:val="32"/>
          <w:highlight w:val="none"/>
          <w:lang w:val="en-US" w:eastAsia="zh-CN"/>
        </w:rPr>
        <w:t>以GCP</w:t>
      </w:r>
      <w:r>
        <w:rPr>
          <w:rFonts w:ascii="Times New Roman" w:eastAsia="仿宋_GB2312" w:hAnsi="Times New Roman" w:cs="Times New Roman" w:hint="eastAsia"/>
          <w:kern w:val="0"/>
          <w:sz w:val="32"/>
          <w:szCs w:val="32"/>
          <w:highlight w:val="none"/>
          <w:lang w:val="en-US" w:eastAsia="zh-CN"/>
        </w:rPr>
        <w:t>（药物临床试验基地）</w:t>
      </w:r>
      <w:r>
        <w:rPr>
          <w:rFonts w:ascii="Times New Roman" w:eastAsia="仿宋_GB2312" w:hAnsi="Times New Roman" w:cs="Times New Roman" w:hint="default"/>
          <w:kern w:val="0"/>
          <w:sz w:val="32"/>
          <w:szCs w:val="32"/>
          <w:highlight w:val="none"/>
          <w:lang w:val="en-US" w:eastAsia="zh-CN"/>
        </w:rPr>
        <w:t>为抓手，加强医疗质量安全</w:t>
      </w:r>
      <w:r>
        <w:rPr>
          <w:rFonts w:ascii="Times New Roman" w:eastAsia="仿宋_GB2312" w:hAnsi="Times New Roman" w:cs="Times New Roman" w:hint="eastAsia"/>
          <w:kern w:val="0"/>
          <w:sz w:val="32"/>
          <w:szCs w:val="32"/>
          <w:highlight w:val="none"/>
          <w:lang w:val="en-US" w:eastAsia="zh-CN"/>
        </w:rPr>
        <w:t>体系</w:t>
      </w:r>
      <w:r>
        <w:rPr>
          <w:rFonts w:ascii="Times New Roman" w:eastAsia="仿宋_GB2312" w:hAnsi="Times New Roman" w:cs="Times New Roman" w:hint="default"/>
          <w:kern w:val="0"/>
          <w:sz w:val="32"/>
          <w:szCs w:val="32"/>
          <w:highlight w:val="none"/>
          <w:lang w:val="en-US" w:eastAsia="zh-CN"/>
        </w:rPr>
        <w:t>建设。</w:t>
      </w:r>
      <w:r>
        <w:rPr>
          <w:rFonts w:ascii="Times New Roman" w:eastAsia="仿宋_GB2312" w:hAnsi="Times New Roman" w:cs="Times New Roman" w:hint="eastAsia"/>
          <w:kern w:val="0"/>
          <w:sz w:val="32"/>
          <w:szCs w:val="32"/>
          <w:highlight w:val="none"/>
          <w:lang w:val="en-US" w:eastAsia="zh-CN"/>
        </w:rPr>
        <w:t>三是突出自身优势，打造</w:t>
      </w:r>
      <w:r>
        <w:rPr>
          <w:rFonts w:ascii="Times New Roman" w:eastAsia="仿宋_GB2312" w:hAnsi="Times New Roman" w:cs="Times New Roman" w:hint="default"/>
          <w:kern w:val="0"/>
          <w:sz w:val="32"/>
          <w:szCs w:val="32"/>
          <w:highlight w:val="none"/>
          <w:lang w:val="en-US" w:eastAsia="zh-CN"/>
        </w:rPr>
        <w:t>精神科特色区域检验中心。深度探索合作模式，多方联合促成交流，逐步搭建技术创新、人才培养、资源优化的具有精神科特色的医学检验平台。</w:t>
      </w:r>
    </w:p>
    <w:p w14:paraId="78E6A69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eastAsia="仿宋_GB2312" w:cs="Times New Roman" w:hint="eastAsia"/>
          <w:kern w:val="0"/>
          <w:sz w:val="32"/>
          <w:szCs w:val="32"/>
          <w:highlight w:val="none"/>
          <w:lang w:val="en-US" w:eastAsia="zh-CN"/>
        </w:rPr>
        <w:t>4、</w:t>
      </w:r>
      <w:r>
        <w:rPr>
          <w:rFonts w:ascii="Times New Roman" w:eastAsia="仿宋_GB2312" w:hAnsi="Times New Roman" w:cs="Times New Roman" w:hint="default"/>
          <w:kern w:val="0"/>
          <w:sz w:val="32"/>
          <w:szCs w:val="32"/>
          <w:highlight w:val="none"/>
          <w:lang w:val="en-US" w:eastAsia="zh-CN"/>
        </w:rPr>
        <w:t>强化学科，创建品牌，打造具备核心竞争力的发展新高地</w:t>
      </w:r>
    </w:p>
    <w:p w14:paraId="6EF5CA2A">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ascii="Times New Roman" w:eastAsia="仿宋_GB2312" w:hAnsi="Times New Roman" w:cs="Times New Roman" w:hint="eastAsia"/>
          <w:kern w:val="0"/>
          <w:sz w:val="32"/>
          <w:szCs w:val="32"/>
          <w:highlight w:val="none"/>
          <w:lang w:val="en-US" w:eastAsia="zh-CN"/>
        </w:rPr>
        <w:t>一是</w:t>
      </w:r>
      <w:r>
        <w:rPr>
          <w:rFonts w:ascii="Times New Roman" w:eastAsia="仿宋_GB2312" w:hAnsi="Times New Roman" w:cs="Times New Roman" w:hint="default"/>
          <w:kern w:val="0"/>
          <w:sz w:val="32"/>
          <w:szCs w:val="32"/>
          <w:highlight w:val="none"/>
          <w:lang w:val="en-US" w:eastAsia="zh-CN"/>
        </w:rPr>
        <w:t>加大科研平台建设投入，完成年度云南省精神疾病临床医学中心建设任务。</w:t>
      </w:r>
      <w:r>
        <w:rPr>
          <w:rFonts w:ascii="Times New Roman" w:eastAsia="仿宋_GB2312" w:hAnsi="Times New Roman" w:cs="Times New Roman" w:hint="eastAsia"/>
          <w:kern w:val="0"/>
          <w:sz w:val="32"/>
          <w:szCs w:val="32"/>
          <w:highlight w:val="none"/>
          <w:lang w:val="en-US" w:eastAsia="zh-CN"/>
        </w:rPr>
        <w:t>围绕中心建设任务，医院持续发力，</w:t>
      </w:r>
      <w:r>
        <w:rPr>
          <w:rFonts w:ascii="Times New Roman" w:eastAsia="仿宋_GB2312" w:hAnsi="Times New Roman" w:cs="Times New Roman" w:hint="default"/>
          <w:kern w:val="0"/>
          <w:sz w:val="32"/>
          <w:szCs w:val="32"/>
          <w:highlight w:val="none"/>
          <w:lang w:val="en-US" w:eastAsia="zh-CN"/>
        </w:rPr>
        <w:t>以过程管理保证中心建设</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以阶段考核促进各项工作推进</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以重点项目建设带动人才梯队建设</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力争圆满完成年度建设任务。</w:t>
      </w:r>
      <w:r>
        <w:rPr>
          <w:rFonts w:ascii="Times New Roman" w:eastAsia="仿宋_GB2312" w:hAnsi="Times New Roman" w:cs="Times New Roman" w:hint="eastAsia"/>
          <w:kern w:val="0"/>
          <w:sz w:val="32"/>
          <w:szCs w:val="32"/>
          <w:highlight w:val="none"/>
          <w:lang w:val="en-US" w:eastAsia="zh-CN"/>
        </w:rPr>
        <w:t>二是</w:t>
      </w:r>
      <w:r>
        <w:rPr>
          <w:rFonts w:ascii="Times New Roman" w:eastAsia="仿宋_GB2312" w:hAnsi="Times New Roman" w:cs="Times New Roman" w:hint="default"/>
          <w:kern w:val="0"/>
          <w:sz w:val="32"/>
          <w:szCs w:val="32"/>
          <w:highlight w:val="none"/>
          <w:lang w:val="en-US" w:eastAsia="zh-CN"/>
        </w:rPr>
        <w:t>围绕标准科学规划，不断加强省级临床重点专科建设。对照省级临床重点专科建设任务书找差距、想办法、添措施，从医院管理、专科建设和服务、人才梯队建设、专业影响力等方面全力推进临床重点专科建设工作，力争圆满完成年度建设任务。</w:t>
      </w:r>
      <w:r>
        <w:rPr>
          <w:rFonts w:ascii="Times New Roman" w:eastAsia="仿宋_GB2312" w:hAnsi="Times New Roman" w:cs="Times New Roman" w:hint="eastAsia"/>
          <w:kern w:val="0"/>
          <w:sz w:val="32"/>
          <w:szCs w:val="32"/>
          <w:highlight w:val="none"/>
          <w:lang w:val="en-US" w:eastAsia="zh-CN"/>
        </w:rPr>
        <w:t>三是</w:t>
      </w:r>
      <w:r>
        <w:rPr>
          <w:rFonts w:ascii="Times New Roman" w:eastAsia="仿宋_GB2312" w:hAnsi="Times New Roman" w:cs="Times New Roman" w:hint="default"/>
          <w:kern w:val="0"/>
          <w:sz w:val="32"/>
          <w:szCs w:val="32"/>
          <w:highlight w:val="none"/>
          <w:lang w:val="en-US" w:eastAsia="zh-CN"/>
        </w:rPr>
        <w:t>以省级精神卫生</w:t>
      </w:r>
      <w:r>
        <w:rPr>
          <w:rFonts w:ascii="Times New Roman" w:eastAsia="仿宋_GB2312" w:hAnsi="Times New Roman" w:cs="Times New Roman" w:hint="eastAsia"/>
          <w:kern w:val="0"/>
          <w:sz w:val="32"/>
          <w:szCs w:val="32"/>
          <w:highlight w:val="none"/>
          <w:lang w:val="en-US" w:eastAsia="zh-CN"/>
        </w:rPr>
        <w:t>建设</w:t>
      </w:r>
      <w:r>
        <w:rPr>
          <w:rFonts w:ascii="Times New Roman" w:eastAsia="仿宋_GB2312" w:hAnsi="Times New Roman" w:cs="Times New Roman" w:hint="default"/>
          <w:kern w:val="0"/>
          <w:sz w:val="32"/>
          <w:szCs w:val="32"/>
          <w:highlight w:val="none"/>
          <w:lang w:val="en-US" w:eastAsia="zh-CN"/>
        </w:rPr>
        <w:t>储备项目</w:t>
      </w:r>
      <w:r>
        <w:rPr>
          <w:rFonts w:ascii="Times New Roman" w:eastAsia="仿宋_GB2312" w:hAnsi="Times New Roman" w:cs="Times New Roman" w:hint="eastAsia"/>
          <w:kern w:val="0"/>
          <w:sz w:val="32"/>
          <w:szCs w:val="32"/>
          <w:highlight w:val="none"/>
          <w:lang w:val="en-US" w:eastAsia="zh-CN"/>
        </w:rPr>
        <w:t>遴选</w:t>
      </w:r>
      <w:r>
        <w:rPr>
          <w:rFonts w:ascii="Times New Roman" w:eastAsia="仿宋_GB2312" w:hAnsi="Times New Roman" w:cs="Times New Roman" w:hint="default"/>
          <w:kern w:val="0"/>
          <w:sz w:val="32"/>
          <w:szCs w:val="32"/>
          <w:highlight w:val="none"/>
          <w:lang w:val="en-US" w:eastAsia="zh-CN"/>
        </w:rPr>
        <w:t>为契机，推进专科谋篇布局。</w:t>
      </w:r>
      <w:r>
        <w:rPr>
          <w:rFonts w:ascii="Times New Roman" w:eastAsia="仿宋_GB2312" w:hAnsi="Times New Roman" w:cs="Times New Roman" w:hint="eastAsia"/>
          <w:kern w:val="0"/>
          <w:sz w:val="32"/>
          <w:szCs w:val="32"/>
          <w:highlight w:val="none"/>
          <w:lang w:val="en-US" w:eastAsia="zh-CN"/>
        </w:rPr>
        <w:t>立足“十四五”期间云南省省级精神卫生建设储备项目</w:t>
      </w:r>
      <w:r>
        <w:rPr>
          <w:rFonts w:ascii="Times New Roman" w:eastAsia="仿宋_GB2312" w:hAnsi="Times New Roman" w:cs="Times New Roman" w:hint="default"/>
          <w:kern w:val="0"/>
          <w:sz w:val="32"/>
          <w:szCs w:val="32"/>
          <w:highlight w:val="none"/>
          <w:lang w:val="en-US" w:eastAsia="zh-CN"/>
        </w:rPr>
        <w:t>，提前谋划完善医院远景规划项目，制作完成医疗大楼建设的可行性研究报告，为今后项目申报做好准备。</w:t>
      </w:r>
    </w:p>
    <w:p w14:paraId="1203A84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eastAsia="仿宋_GB2312" w:cs="Times New Roman" w:hint="eastAsia"/>
          <w:kern w:val="0"/>
          <w:sz w:val="32"/>
          <w:szCs w:val="32"/>
          <w:highlight w:val="none"/>
          <w:lang w:val="en-US" w:eastAsia="zh-CN"/>
        </w:rPr>
        <w:t>5</w:t>
      </w:r>
      <w:r>
        <w:rPr>
          <w:rFonts w:ascii="Times New Roman" w:eastAsia="仿宋_GB2312" w:hAnsi="Times New Roman" w:cs="Times New Roman" w:hint="eastAsia"/>
          <w:kern w:val="0"/>
          <w:sz w:val="32"/>
          <w:szCs w:val="32"/>
          <w:highlight w:val="none"/>
          <w:lang w:val="en-US" w:eastAsia="zh-CN"/>
        </w:rPr>
        <w:t>、</w:t>
      </w:r>
      <w:r>
        <w:rPr>
          <w:rFonts w:ascii="Times New Roman" w:eastAsia="仿宋_GB2312" w:hAnsi="Times New Roman" w:cs="Times New Roman" w:hint="default"/>
          <w:kern w:val="0"/>
          <w:sz w:val="32"/>
          <w:szCs w:val="32"/>
          <w:highlight w:val="none"/>
          <w:lang w:val="en-US" w:eastAsia="zh-CN"/>
        </w:rPr>
        <w:t>以人为本，刚柔并济，持续强化人才队伍建设</w:t>
      </w:r>
    </w:p>
    <w:p w14:paraId="5808750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Times New Roman" w:eastAsia="仿宋_GB2312" w:hAnsi="Times New Roman" w:cs="Times New Roman" w:hint="default"/>
          <w:kern w:val="0"/>
          <w:sz w:val="32"/>
          <w:szCs w:val="32"/>
          <w:highlight w:val="none"/>
          <w:lang w:val="en-US" w:eastAsia="zh-CN"/>
        </w:rPr>
      </w:pPr>
      <w:r>
        <w:rPr>
          <w:rFonts w:ascii="Times New Roman" w:eastAsia="仿宋_GB2312" w:hAnsi="Times New Roman" w:cs="Times New Roman" w:hint="default"/>
          <w:kern w:val="0"/>
          <w:sz w:val="32"/>
          <w:szCs w:val="32"/>
          <w:highlight w:val="none"/>
          <w:lang w:val="en-US" w:eastAsia="zh-CN"/>
        </w:rPr>
        <w:t>一是充分完善人才队伍建设的体制机制。通过医院重点人才培养计划，进行有针对性的培养，不断创新培养方式。二是强化学科建设体系，夯实人才建设基础。加强学科建设布局的总体设计和战略规划，依托现有平台资源，进一步为精神科精准诊疗的人才培养与临床规范化诊疗贡献力量。三是做好院校协同发展，不断推进医教改革。以构建一流的临床技能培训中心为抓手，立足打造精品课程，加强师资队伍建设，强化住院医师规范化培训建设，建立具有精神病学专业特色的临床教学体系，强化附属医院、规培基地等在临床教学中的主导地位和引领作用，逐步实现医教共赢。</w:t>
      </w:r>
    </w:p>
    <w:p w14:paraId="0129571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二、预算单位基本情况</w:t>
      </w:r>
    </w:p>
    <w:p w14:paraId="0654892C">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kern w:val="0"/>
          <w:sz w:val="32"/>
          <w:szCs w:val="32"/>
          <w:highlight w:val="none"/>
        </w:rPr>
      </w:pPr>
      <w:r>
        <w:rPr>
          <w:rFonts w:eastAsia="仿宋_GB2312"/>
          <w:kern w:val="0"/>
          <w:sz w:val="32"/>
          <w:szCs w:val="32"/>
          <w:highlight w:val="none"/>
        </w:rPr>
        <w:t>我部门编制</w:t>
      </w:r>
      <w:r>
        <w:rPr>
          <w:rFonts w:eastAsia="仿宋_GB2312" w:hint="eastAsia"/>
          <w:kern w:val="0"/>
          <w:sz w:val="32"/>
          <w:szCs w:val="32"/>
          <w:highlight w:val="none"/>
          <w:lang w:val="en-US" w:eastAsia="zh-CN"/>
        </w:rPr>
        <w:t>2025</w:t>
      </w:r>
      <w:r>
        <w:rPr>
          <w:rFonts w:eastAsia="仿宋_GB2312"/>
          <w:kern w:val="0"/>
          <w:sz w:val="32"/>
          <w:szCs w:val="32"/>
          <w:highlight w:val="none"/>
        </w:rPr>
        <w:t>年部门预算单位共</w:t>
      </w:r>
      <w:r>
        <w:rPr>
          <w:rFonts w:eastAsia="仿宋_GB2312" w:hint="eastAsia"/>
          <w:kern w:val="0"/>
          <w:sz w:val="32"/>
          <w:szCs w:val="32"/>
          <w:highlight w:val="none"/>
          <w:lang w:val="en-US" w:eastAsia="zh-CN"/>
        </w:rPr>
        <w:t>1</w:t>
      </w:r>
      <w:r>
        <w:rPr>
          <w:rFonts w:eastAsia="仿宋_GB2312"/>
          <w:kern w:val="0"/>
          <w:sz w:val="32"/>
          <w:szCs w:val="32"/>
          <w:highlight w:val="none"/>
        </w:rPr>
        <w:t>个。其中：财政</w:t>
      </w:r>
      <w:r>
        <w:rPr>
          <w:rFonts w:eastAsia="仿宋_GB2312" w:hint="eastAsia"/>
          <w:kern w:val="0"/>
          <w:sz w:val="32"/>
          <w:szCs w:val="32"/>
          <w:highlight w:val="none"/>
        </w:rPr>
        <w:t>全额</w:t>
      </w:r>
      <w:r>
        <w:rPr>
          <w:rFonts w:eastAsia="仿宋_GB2312"/>
          <w:kern w:val="0"/>
          <w:sz w:val="32"/>
          <w:szCs w:val="32"/>
          <w:highlight w:val="none"/>
        </w:rPr>
        <w:t>供给单位</w:t>
      </w:r>
      <w:r>
        <w:rPr>
          <w:rFonts w:eastAsia="仿宋_GB2312" w:hint="eastAsia"/>
          <w:kern w:val="0"/>
          <w:sz w:val="32"/>
          <w:szCs w:val="32"/>
          <w:highlight w:val="none"/>
          <w:lang w:val="en-US" w:eastAsia="zh-CN"/>
        </w:rPr>
        <w:t>0</w:t>
      </w:r>
      <w:r>
        <w:rPr>
          <w:rFonts w:eastAsia="仿宋_GB2312"/>
          <w:kern w:val="0"/>
          <w:sz w:val="32"/>
          <w:szCs w:val="32"/>
          <w:highlight w:val="none"/>
        </w:rPr>
        <w:t>个；</w:t>
      </w:r>
      <w:r>
        <w:rPr>
          <w:rFonts w:eastAsia="仿宋_GB2312" w:hint="eastAsia"/>
          <w:kern w:val="0"/>
          <w:sz w:val="32"/>
          <w:szCs w:val="32"/>
          <w:highlight w:val="none"/>
        </w:rPr>
        <w:t>差额</w:t>
      </w:r>
      <w:r>
        <w:rPr>
          <w:rFonts w:eastAsia="仿宋_GB2312"/>
          <w:kern w:val="0"/>
          <w:sz w:val="32"/>
          <w:szCs w:val="32"/>
          <w:highlight w:val="none"/>
        </w:rPr>
        <w:t>供给单位</w:t>
      </w:r>
      <w:r>
        <w:rPr>
          <w:rFonts w:eastAsia="仿宋_GB2312" w:hint="eastAsia"/>
          <w:kern w:val="0"/>
          <w:sz w:val="32"/>
          <w:szCs w:val="32"/>
          <w:highlight w:val="none"/>
          <w:lang w:val="en-US" w:eastAsia="zh-CN"/>
        </w:rPr>
        <w:t>1</w:t>
      </w:r>
      <w:r>
        <w:rPr>
          <w:rFonts w:eastAsia="仿宋_GB2312"/>
          <w:kern w:val="0"/>
          <w:sz w:val="32"/>
          <w:szCs w:val="32"/>
          <w:highlight w:val="none"/>
        </w:rPr>
        <w:t>个；</w:t>
      </w:r>
      <w:r>
        <w:rPr>
          <w:rFonts w:eastAsia="仿宋_GB2312" w:hint="eastAsia"/>
          <w:kern w:val="0"/>
          <w:sz w:val="32"/>
          <w:szCs w:val="32"/>
          <w:highlight w:val="none"/>
        </w:rPr>
        <w:t>定额补助</w:t>
      </w:r>
      <w:r>
        <w:rPr>
          <w:rFonts w:eastAsia="仿宋_GB2312"/>
          <w:kern w:val="0"/>
          <w:sz w:val="32"/>
          <w:szCs w:val="32"/>
          <w:highlight w:val="none"/>
        </w:rPr>
        <w:t>单位</w:t>
      </w:r>
      <w:r>
        <w:rPr>
          <w:rFonts w:eastAsia="仿宋_GB2312" w:hint="eastAsia"/>
          <w:kern w:val="0"/>
          <w:sz w:val="32"/>
          <w:szCs w:val="32"/>
          <w:highlight w:val="none"/>
          <w:lang w:val="en-US" w:eastAsia="zh-CN"/>
        </w:rPr>
        <w:t>0</w:t>
      </w:r>
      <w:r>
        <w:rPr>
          <w:rFonts w:eastAsia="仿宋_GB2312"/>
          <w:kern w:val="0"/>
          <w:sz w:val="32"/>
          <w:szCs w:val="32"/>
          <w:highlight w:val="none"/>
        </w:rPr>
        <w:t>个；自收自支单位</w:t>
      </w:r>
      <w:r>
        <w:rPr>
          <w:rFonts w:eastAsia="仿宋_GB2312" w:hint="eastAsia"/>
          <w:kern w:val="0"/>
          <w:sz w:val="32"/>
          <w:szCs w:val="32"/>
          <w:highlight w:val="none"/>
          <w:lang w:val="en-US" w:eastAsia="zh-CN"/>
        </w:rPr>
        <w:t>0</w:t>
      </w:r>
      <w:r>
        <w:rPr>
          <w:rFonts w:eastAsia="仿宋_GB2312"/>
          <w:kern w:val="0"/>
          <w:sz w:val="32"/>
          <w:szCs w:val="32"/>
          <w:highlight w:val="none"/>
        </w:rPr>
        <w:t>个。财政</w:t>
      </w:r>
      <w:r>
        <w:rPr>
          <w:rFonts w:eastAsia="仿宋_GB2312" w:hint="eastAsia"/>
          <w:kern w:val="0"/>
          <w:sz w:val="32"/>
          <w:szCs w:val="32"/>
          <w:highlight w:val="none"/>
        </w:rPr>
        <w:t>全额</w:t>
      </w:r>
      <w:r>
        <w:rPr>
          <w:rFonts w:eastAsia="仿宋_GB2312"/>
          <w:kern w:val="0"/>
          <w:sz w:val="32"/>
          <w:szCs w:val="32"/>
          <w:highlight w:val="none"/>
        </w:rPr>
        <w:t>供给单位中行政单位</w:t>
      </w:r>
      <w:r>
        <w:rPr>
          <w:rFonts w:eastAsia="仿宋_GB2312" w:hint="eastAsia"/>
          <w:kern w:val="0"/>
          <w:sz w:val="32"/>
          <w:szCs w:val="32"/>
          <w:highlight w:val="none"/>
          <w:lang w:val="en-US" w:eastAsia="zh-CN"/>
        </w:rPr>
        <w:t>0</w:t>
      </w:r>
      <w:r>
        <w:rPr>
          <w:rFonts w:eastAsia="仿宋_GB2312"/>
          <w:kern w:val="0"/>
          <w:sz w:val="32"/>
          <w:szCs w:val="32"/>
          <w:highlight w:val="none"/>
        </w:rPr>
        <w:t>个；参公单位</w:t>
      </w:r>
      <w:r>
        <w:rPr>
          <w:rFonts w:eastAsia="仿宋_GB2312" w:hint="eastAsia"/>
          <w:kern w:val="0"/>
          <w:sz w:val="32"/>
          <w:szCs w:val="32"/>
          <w:highlight w:val="none"/>
          <w:lang w:val="en-US" w:eastAsia="zh-CN"/>
        </w:rPr>
        <w:t>0</w:t>
      </w:r>
      <w:r>
        <w:rPr>
          <w:rFonts w:eastAsia="仿宋_GB2312"/>
          <w:kern w:val="0"/>
          <w:sz w:val="32"/>
          <w:szCs w:val="32"/>
          <w:highlight w:val="none"/>
        </w:rPr>
        <w:t>个；事业单位</w:t>
      </w:r>
      <w:r>
        <w:rPr>
          <w:rFonts w:eastAsia="仿宋_GB2312" w:hint="eastAsia"/>
          <w:kern w:val="0"/>
          <w:sz w:val="32"/>
          <w:szCs w:val="32"/>
          <w:highlight w:val="none"/>
          <w:lang w:val="en-US" w:eastAsia="zh-CN"/>
        </w:rPr>
        <w:t>0</w:t>
      </w:r>
      <w:r>
        <w:rPr>
          <w:rFonts w:eastAsia="仿宋_GB2312"/>
          <w:kern w:val="0"/>
          <w:sz w:val="32"/>
          <w:szCs w:val="32"/>
          <w:highlight w:val="none"/>
        </w:rPr>
        <w:t>个。截止</w:t>
      </w:r>
      <w:r>
        <w:rPr>
          <w:rFonts w:eastAsia="仿宋_GB2312" w:hint="eastAsia"/>
          <w:kern w:val="0"/>
          <w:sz w:val="32"/>
          <w:szCs w:val="32"/>
          <w:highlight w:val="none"/>
          <w:lang w:val="en-US" w:eastAsia="zh-CN"/>
        </w:rPr>
        <w:t>2024</w:t>
      </w:r>
      <w:r>
        <w:rPr>
          <w:rFonts w:eastAsia="仿宋_GB2312"/>
          <w:kern w:val="0"/>
          <w:sz w:val="32"/>
          <w:szCs w:val="32"/>
          <w:highlight w:val="none"/>
        </w:rPr>
        <w:t>年12月统计，部门基本情况如下：</w:t>
      </w:r>
    </w:p>
    <w:p w14:paraId="38F45DC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kern w:val="0"/>
          <w:sz w:val="32"/>
          <w:szCs w:val="32"/>
          <w:highlight w:val="none"/>
        </w:rPr>
      </w:pPr>
      <w:r>
        <w:rPr>
          <w:rFonts w:eastAsia="仿宋_GB2312"/>
          <w:kern w:val="0"/>
          <w:sz w:val="32"/>
          <w:szCs w:val="32"/>
          <w:highlight w:val="none"/>
        </w:rPr>
        <w:t>在职人员编制</w:t>
      </w:r>
      <w:r>
        <w:rPr>
          <w:rFonts w:eastAsia="仿宋_GB2312" w:hint="eastAsia"/>
          <w:kern w:val="0"/>
          <w:sz w:val="32"/>
          <w:szCs w:val="32"/>
          <w:highlight w:val="none"/>
          <w:lang w:val="en-US" w:eastAsia="zh-CN"/>
        </w:rPr>
        <w:t>467</w:t>
      </w:r>
      <w:r>
        <w:rPr>
          <w:rFonts w:eastAsia="仿宋_GB2312"/>
          <w:kern w:val="0"/>
          <w:sz w:val="32"/>
          <w:szCs w:val="32"/>
          <w:highlight w:val="none"/>
        </w:rPr>
        <w:t>人，其中：行政编制</w:t>
      </w:r>
      <w:r>
        <w:rPr>
          <w:rFonts w:eastAsia="仿宋_GB2312" w:hint="eastAsia"/>
          <w:kern w:val="0"/>
          <w:sz w:val="32"/>
          <w:szCs w:val="32"/>
          <w:highlight w:val="none"/>
          <w:lang w:val="en-US" w:eastAsia="zh-CN"/>
        </w:rPr>
        <w:t>0</w:t>
      </w:r>
      <w:r>
        <w:rPr>
          <w:rFonts w:eastAsia="仿宋_GB2312"/>
          <w:kern w:val="0"/>
          <w:sz w:val="32"/>
          <w:szCs w:val="32"/>
          <w:highlight w:val="none"/>
        </w:rPr>
        <w:t>人，</w:t>
      </w:r>
      <w:r>
        <w:rPr>
          <w:rFonts w:eastAsia="仿宋_GB2312" w:hint="eastAsia"/>
          <w:kern w:val="0"/>
          <w:sz w:val="32"/>
          <w:szCs w:val="32"/>
          <w:highlight w:val="none"/>
          <w:lang w:eastAsia="zh-CN"/>
        </w:rPr>
        <w:t>工勤人员编制</w:t>
      </w:r>
      <w:r>
        <w:rPr>
          <w:rFonts w:eastAsia="仿宋_GB2312" w:hint="eastAsia"/>
          <w:kern w:val="0"/>
          <w:sz w:val="32"/>
          <w:szCs w:val="32"/>
          <w:highlight w:val="none"/>
          <w:lang w:val="en-US" w:eastAsia="zh-CN"/>
        </w:rPr>
        <w:t>19</w:t>
      </w:r>
      <w:r>
        <w:rPr>
          <w:rFonts w:eastAsia="仿宋_GB2312"/>
          <w:kern w:val="0"/>
          <w:sz w:val="32"/>
          <w:szCs w:val="32"/>
          <w:highlight w:val="none"/>
        </w:rPr>
        <w:t>人</w:t>
      </w:r>
      <w:r>
        <w:rPr>
          <w:rFonts w:eastAsia="仿宋_GB2312" w:hint="eastAsia"/>
          <w:kern w:val="0"/>
          <w:sz w:val="32"/>
          <w:szCs w:val="32"/>
          <w:highlight w:val="none"/>
          <w:lang w:eastAsia="zh-CN"/>
        </w:rPr>
        <w:t>，</w:t>
      </w:r>
      <w:r>
        <w:rPr>
          <w:rFonts w:eastAsia="仿宋_GB2312"/>
          <w:kern w:val="0"/>
          <w:sz w:val="32"/>
          <w:szCs w:val="32"/>
          <w:highlight w:val="none"/>
        </w:rPr>
        <w:t>事业编</w:t>
      </w:r>
      <w:r>
        <w:rPr>
          <w:rFonts w:eastAsia="仿宋_GB2312" w:hint="eastAsia"/>
          <w:kern w:val="0"/>
          <w:sz w:val="32"/>
          <w:szCs w:val="32"/>
          <w:highlight w:val="none"/>
          <w:lang w:val="en-US" w:eastAsia="zh-CN"/>
        </w:rPr>
        <w:t>制448</w:t>
      </w:r>
      <w:r>
        <w:rPr>
          <w:rFonts w:eastAsia="仿宋_GB2312"/>
          <w:kern w:val="0"/>
          <w:sz w:val="32"/>
          <w:szCs w:val="32"/>
          <w:highlight w:val="none"/>
        </w:rPr>
        <w:t>人。在职实有</w:t>
      </w:r>
      <w:r>
        <w:rPr>
          <w:rFonts w:eastAsia="仿宋_GB2312" w:hint="eastAsia"/>
          <w:kern w:val="0"/>
          <w:sz w:val="32"/>
          <w:szCs w:val="32"/>
          <w:highlight w:val="none"/>
          <w:lang w:val="en-US" w:eastAsia="zh-CN"/>
        </w:rPr>
        <w:t>558</w:t>
      </w:r>
      <w:r>
        <w:rPr>
          <w:rFonts w:eastAsia="仿宋_GB2312"/>
          <w:kern w:val="0"/>
          <w:sz w:val="32"/>
          <w:szCs w:val="32"/>
          <w:highlight w:val="none"/>
        </w:rPr>
        <w:t>人，其中：财政</w:t>
      </w:r>
      <w:r>
        <w:rPr>
          <w:rFonts w:eastAsia="仿宋_GB2312" w:hint="eastAsia"/>
          <w:kern w:val="0"/>
          <w:sz w:val="32"/>
          <w:szCs w:val="32"/>
          <w:highlight w:val="none"/>
        </w:rPr>
        <w:t>全额保障</w:t>
      </w:r>
      <w:r>
        <w:rPr>
          <w:rFonts w:eastAsia="仿宋_GB2312" w:hint="eastAsia"/>
          <w:kern w:val="0"/>
          <w:sz w:val="32"/>
          <w:szCs w:val="32"/>
          <w:highlight w:val="none"/>
          <w:lang w:val="en-US" w:eastAsia="zh-CN"/>
        </w:rPr>
        <w:t>0</w:t>
      </w:r>
      <w:r>
        <w:rPr>
          <w:rFonts w:eastAsia="仿宋_GB2312"/>
          <w:kern w:val="0"/>
          <w:sz w:val="32"/>
          <w:szCs w:val="32"/>
          <w:highlight w:val="none"/>
        </w:rPr>
        <w:t>人，财政</w:t>
      </w:r>
      <w:r>
        <w:rPr>
          <w:rFonts w:eastAsia="仿宋_GB2312" w:hint="eastAsia"/>
          <w:kern w:val="0"/>
          <w:sz w:val="32"/>
          <w:szCs w:val="32"/>
          <w:highlight w:val="none"/>
        </w:rPr>
        <w:t>差额补助</w:t>
      </w:r>
      <w:r>
        <w:rPr>
          <w:rFonts w:eastAsia="仿宋_GB2312" w:hint="eastAsia"/>
          <w:kern w:val="0"/>
          <w:sz w:val="32"/>
          <w:szCs w:val="32"/>
          <w:highlight w:val="none"/>
          <w:lang w:val="en-US" w:eastAsia="zh-CN"/>
        </w:rPr>
        <w:t>420</w:t>
      </w:r>
      <w:r>
        <w:rPr>
          <w:rFonts w:eastAsia="仿宋_GB2312"/>
          <w:kern w:val="0"/>
          <w:sz w:val="32"/>
          <w:szCs w:val="32"/>
          <w:highlight w:val="none"/>
        </w:rPr>
        <w:t>人，</w:t>
      </w:r>
      <w:r>
        <w:rPr>
          <w:rFonts w:eastAsia="仿宋_GB2312" w:hint="eastAsia"/>
          <w:kern w:val="0"/>
          <w:sz w:val="32"/>
          <w:szCs w:val="32"/>
          <w:highlight w:val="none"/>
        </w:rPr>
        <w:t>财政专户资金、单位资金保障</w:t>
      </w:r>
      <w:r>
        <w:rPr>
          <w:rFonts w:eastAsia="仿宋_GB2312" w:hint="eastAsia"/>
          <w:kern w:val="0"/>
          <w:sz w:val="32"/>
          <w:szCs w:val="32"/>
          <w:highlight w:val="none"/>
          <w:lang w:val="en-US" w:eastAsia="zh-CN"/>
        </w:rPr>
        <w:t>138</w:t>
      </w:r>
      <w:r>
        <w:rPr>
          <w:rFonts w:eastAsia="仿宋_GB2312"/>
          <w:kern w:val="0"/>
          <w:sz w:val="32"/>
          <w:szCs w:val="32"/>
          <w:highlight w:val="none"/>
        </w:rPr>
        <w:t>人。</w:t>
      </w:r>
    </w:p>
    <w:p w14:paraId="07C5268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kern w:val="0"/>
          <w:sz w:val="32"/>
          <w:szCs w:val="32"/>
          <w:highlight w:val="none"/>
        </w:rPr>
      </w:pPr>
      <w:r>
        <w:rPr>
          <w:rFonts w:eastAsia="仿宋_GB2312"/>
          <w:kern w:val="0"/>
          <w:sz w:val="32"/>
          <w:szCs w:val="32"/>
          <w:highlight w:val="none"/>
        </w:rPr>
        <w:t>离退休人员</w:t>
      </w:r>
      <w:r>
        <w:rPr>
          <w:rFonts w:eastAsia="仿宋_GB2312" w:hint="eastAsia"/>
          <w:kern w:val="0"/>
          <w:sz w:val="32"/>
          <w:szCs w:val="32"/>
          <w:highlight w:val="none"/>
          <w:lang w:val="en-US" w:eastAsia="zh-CN"/>
        </w:rPr>
        <w:t>254</w:t>
      </w:r>
      <w:r>
        <w:rPr>
          <w:rFonts w:eastAsia="仿宋_GB2312"/>
          <w:kern w:val="0"/>
          <w:sz w:val="32"/>
          <w:szCs w:val="32"/>
          <w:highlight w:val="none"/>
        </w:rPr>
        <w:t>人，其中：离休</w:t>
      </w:r>
      <w:r>
        <w:rPr>
          <w:rFonts w:eastAsia="仿宋_GB2312" w:hint="eastAsia"/>
          <w:kern w:val="0"/>
          <w:sz w:val="32"/>
          <w:szCs w:val="32"/>
          <w:highlight w:val="none"/>
          <w:lang w:val="en-US" w:eastAsia="zh-CN"/>
        </w:rPr>
        <w:t>0</w:t>
      </w:r>
      <w:r>
        <w:rPr>
          <w:rFonts w:eastAsia="仿宋_GB2312"/>
          <w:kern w:val="0"/>
          <w:sz w:val="32"/>
          <w:szCs w:val="32"/>
          <w:highlight w:val="none"/>
        </w:rPr>
        <w:t>人，退休</w:t>
      </w:r>
      <w:r>
        <w:rPr>
          <w:rFonts w:eastAsia="仿宋_GB2312" w:hint="eastAsia"/>
          <w:kern w:val="0"/>
          <w:sz w:val="32"/>
          <w:szCs w:val="32"/>
          <w:highlight w:val="none"/>
          <w:lang w:val="en-US" w:eastAsia="zh-CN"/>
        </w:rPr>
        <w:t>254</w:t>
      </w:r>
      <w:r>
        <w:rPr>
          <w:rFonts w:eastAsia="仿宋_GB2312"/>
          <w:kern w:val="0"/>
          <w:sz w:val="32"/>
          <w:szCs w:val="32"/>
          <w:highlight w:val="none"/>
        </w:rPr>
        <w:t>人。</w:t>
      </w:r>
    </w:p>
    <w:p w14:paraId="74E0A5B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highlight w:val="none"/>
          <w:lang w:val="en-US"/>
        </w:rPr>
      </w:pPr>
      <w:r>
        <w:rPr>
          <w:rFonts w:eastAsia="仿宋_GB2312"/>
          <w:kern w:val="0"/>
          <w:sz w:val="32"/>
          <w:szCs w:val="32"/>
          <w:highlight w:val="none"/>
        </w:rPr>
        <w:t>车辆编制</w:t>
      </w:r>
      <w:r>
        <w:rPr>
          <w:rFonts w:eastAsia="仿宋_GB2312" w:hint="eastAsia"/>
          <w:kern w:val="0"/>
          <w:sz w:val="32"/>
          <w:szCs w:val="32"/>
          <w:highlight w:val="none"/>
          <w:lang w:val="en-US" w:eastAsia="zh-CN"/>
        </w:rPr>
        <w:t>6</w:t>
      </w:r>
      <w:r>
        <w:rPr>
          <w:rFonts w:eastAsia="仿宋_GB2312"/>
          <w:kern w:val="0"/>
          <w:sz w:val="32"/>
          <w:szCs w:val="32"/>
          <w:highlight w:val="none"/>
        </w:rPr>
        <w:t>辆，实有车辆</w:t>
      </w:r>
      <w:r>
        <w:rPr>
          <w:rFonts w:eastAsia="仿宋_GB2312" w:hint="eastAsia"/>
          <w:kern w:val="0"/>
          <w:sz w:val="32"/>
          <w:szCs w:val="32"/>
          <w:highlight w:val="none"/>
          <w:lang w:val="en-US" w:eastAsia="zh-CN"/>
        </w:rPr>
        <w:t>5</w:t>
      </w:r>
      <w:r>
        <w:rPr>
          <w:rFonts w:eastAsia="仿宋_GB2312"/>
          <w:kern w:val="0"/>
          <w:sz w:val="32"/>
          <w:szCs w:val="32"/>
          <w:highlight w:val="none"/>
        </w:rPr>
        <w:t>辆</w:t>
      </w:r>
      <w:r>
        <w:rPr>
          <w:rFonts w:eastAsia="仿宋_GB2312" w:hint="eastAsia"/>
          <w:kern w:val="0"/>
          <w:sz w:val="32"/>
          <w:szCs w:val="32"/>
          <w:highlight w:val="none"/>
          <w:lang w:eastAsia="zh-CN"/>
        </w:rPr>
        <w:t>，超编</w:t>
      </w:r>
      <w:r>
        <w:rPr>
          <w:rFonts w:eastAsia="仿宋_GB2312" w:hint="eastAsia"/>
          <w:kern w:val="0"/>
          <w:sz w:val="32"/>
          <w:szCs w:val="32"/>
          <w:highlight w:val="none"/>
          <w:lang w:val="en-US" w:eastAsia="zh-CN"/>
        </w:rPr>
        <w:t>0</w:t>
      </w:r>
      <w:r>
        <w:rPr>
          <w:rFonts w:eastAsia="仿宋_GB2312"/>
          <w:kern w:val="0"/>
          <w:sz w:val="32"/>
          <w:szCs w:val="32"/>
          <w:highlight w:val="none"/>
        </w:rPr>
        <w:t>辆</w:t>
      </w:r>
      <w:r>
        <w:rPr>
          <w:rFonts w:eastAsia="仿宋_GB2312" w:hint="eastAsia"/>
          <w:kern w:val="0"/>
          <w:sz w:val="32"/>
          <w:szCs w:val="32"/>
          <w:highlight w:val="none"/>
          <w:lang w:eastAsia="zh-CN"/>
        </w:rPr>
        <w:t>。</w:t>
      </w:r>
    </w:p>
    <w:p w14:paraId="3CB31B28">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三、预算单位收入情况</w:t>
      </w:r>
    </w:p>
    <w:p w14:paraId="27917A80">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（一）部门财务收入情况</w:t>
      </w:r>
    </w:p>
    <w:p w14:paraId="16F001B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2025</w:t>
      </w:r>
      <w:r>
        <w:rPr>
          <w:rFonts w:eastAsia="仿宋_GB2312" w:hint="eastAsia"/>
          <w:kern w:val="0"/>
          <w:sz w:val="32"/>
          <w:szCs w:val="32"/>
        </w:rPr>
        <w:t>年部门财务总收入379</w:t>
      </w:r>
      <w:r>
        <w:rPr>
          <w:rFonts w:eastAsia="仿宋_GB2312" w:hint="eastAsia"/>
          <w:kern w:val="0"/>
          <w:sz w:val="32"/>
          <w:szCs w:val="32"/>
          <w:lang w:val="en-US" w:eastAsia="zh-CN"/>
        </w:rPr>
        <w:t>,</w:t>
      </w:r>
      <w:r>
        <w:rPr>
          <w:rFonts w:eastAsia="仿宋_GB2312" w:hint="eastAsia"/>
          <w:kern w:val="0"/>
          <w:sz w:val="32"/>
          <w:szCs w:val="32"/>
        </w:rPr>
        <w:t>361</w:t>
      </w:r>
      <w:r>
        <w:rPr>
          <w:rFonts w:eastAsia="仿宋_GB2312" w:hint="eastAsia"/>
          <w:kern w:val="0"/>
          <w:sz w:val="32"/>
          <w:szCs w:val="32"/>
          <w:lang w:val="en-US" w:eastAsia="zh-CN"/>
        </w:rPr>
        <w:t>,</w:t>
      </w:r>
      <w:r>
        <w:rPr>
          <w:rFonts w:eastAsia="仿宋_GB2312" w:hint="eastAsia"/>
          <w:kern w:val="0"/>
          <w:sz w:val="32"/>
          <w:szCs w:val="32"/>
        </w:rPr>
        <w:t>707.29</w:t>
      </w:r>
      <w:r>
        <w:rPr>
          <w:rFonts w:eastAsia="仿宋_GB2312" w:hint="eastAsia"/>
          <w:kern w:val="0"/>
          <w:sz w:val="32"/>
          <w:szCs w:val="32"/>
          <w:lang w:eastAsia="zh-CN"/>
        </w:rPr>
        <w:t>元</w:t>
      </w:r>
      <w:r>
        <w:rPr>
          <w:rFonts w:eastAsia="仿宋_GB2312" w:hint="eastAsia"/>
          <w:kern w:val="0"/>
          <w:sz w:val="32"/>
          <w:szCs w:val="32"/>
        </w:rPr>
        <w:t>，其中：一般公共预算</w:t>
      </w:r>
      <w:r>
        <w:rPr>
          <w:rFonts w:eastAsia="仿宋_GB2312" w:hint="eastAsia"/>
          <w:kern w:val="0"/>
          <w:sz w:val="32"/>
          <w:szCs w:val="32"/>
          <w:lang w:val="en-US" w:eastAsia="zh-CN"/>
        </w:rPr>
        <w:t>42,102,555.60</w:t>
      </w:r>
      <w:r>
        <w:rPr>
          <w:rFonts w:eastAsia="仿宋_GB2312" w:hint="eastAsia"/>
          <w:kern w:val="0"/>
          <w:sz w:val="32"/>
          <w:szCs w:val="32"/>
          <w:lang w:eastAsia="zh-CN"/>
        </w:rPr>
        <w:t>元</w:t>
      </w:r>
      <w:r>
        <w:rPr>
          <w:rFonts w:eastAsia="仿宋_GB2312" w:hint="eastAsia"/>
          <w:kern w:val="0"/>
          <w:sz w:val="32"/>
          <w:szCs w:val="32"/>
        </w:rPr>
        <w:t>，政府性基金</w:t>
      </w:r>
      <w:r>
        <w:rPr>
          <w:rFonts w:eastAsia="仿宋_GB2312" w:hint="default"/>
          <w:kern w:val="0"/>
          <w:sz w:val="32"/>
          <w:szCs w:val="32"/>
          <w:lang w:val="en-US" w:eastAsia="zh-CN"/>
        </w:rPr>
        <w:t>0.</w:t>
      </w:r>
      <w:r>
        <w:rPr>
          <w:rFonts w:eastAsia="仿宋_GB2312" w:hint="eastAsia"/>
          <w:kern w:val="0"/>
          <w:sz w:val="32"/>
          <w:szCs w:val="32"/>
          <w:lang w:val="en-US" w:eastAsia="zh-CN"/>
        </w:rPr>
        <w:t>00</w:t>
      </w:r>
      <w:r>
        <w:rPr>
          <w:rFonts w:eastAsia="仿宋_GB2312" w:hint="eastAsia"/>
          <w:kern w:val="0"/>
          <w:sz w:val="32"/>
          <w:szCs w:val="32"/>
          <w:lang w:eastAsia="zh-CN"/>
        </w:rPr>
        <w:t>元</w:t>
      </w:r>
      <w:r>
        <w:rPr>
          <w:rFonts w:eastAsia="仿宋_GB2312" w:hint="eastAsia"/>
          <w:kern w:val="0"/>
          <w:sz w:val="32"/>
          <w:szCs w:val="32"/>
        </w:rPr>
        <w:t>，国有资本经营收益</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w:t>
      </w:r>
      <w:r>
        <w:rPr>
          <w:rFonts w:eastAsia="仿宋_GB2312" w:hint="eastAsia"/>
          <w:kern w:val="0"/>
          <w:sz w:val="32"/>
          <w:szCs w:val="32"/>
          <w:lang w:eastAsia="zh-CN"/>
        </w:rPr>
        <w:t>财政专户管理资金收入</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事业收入</w:t>
      </w:r>
      <w:r>
        <w:rPr>
          <w:rFonts w:eastAsia="仿宋_GB2312" w:hint="eastAsia"/>
          <w:kern w:val="0"/>
          <w:sz w:val="32"/>
          <w:szCs w:val="32"/>
          <w:lang w:val="en-US" w:eastAsia="zh-CN"/>
        </w:rPr>
        <w:t>337,259,151.69</w:t>
      </w:r>
      <w:r>
        <w:rPr>
          <w:rFonts w:eastAsia="仿宋_GB2312" w:hint="eastAsia"/>
          <w:kern w:val="0"/>
          <w:sz w:val="32"/>
          <w:szCs w:val="32"/>
          <w:lang w:eastAsia="zh-CN"/>
        </w:rPr>
        <w:t>元</w:t>
      </w:r>
      <w:r>
        <w:rPr>
          <w:rFonts w:eastAsia="仿宋_GB2312" w:hint="eastAsia"/>
          <w:kern w:val="0"/>
          <w:sz w:val="32"/>
          <w:szCs w:val="32"/>
        </w:rPr>
        <w:t>，事业单位经营收入</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，上级补助收入</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，附属单位上缴收入</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，其他收入</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w:t>
      </w:r>
    </w:p>
    <w:p w14:paraId="7B1AE690">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rPr>
        <w:t>与上年对比</w:t>
      </w:r>
      <w:r>
        <w:rPr>
          <w:rFonts w:eastAsia="仿宋_GB2312" w:hint="eastAsia"/>
          <w:kern w:val="0"/>
          <w:sz w:val="32"/>
          <w:szCs w:val="32"/>
          <w:lang w:val="en-US" w:eastAsia="zh-CN"/>
        </w:rPr>
        <w:t>增加64,183,511.33元，增长20.36%</w:t>
      </w:r>
      <w:r>
        <w:rPr>
          <w:rFonts w:eastAsia="仿宋_GB2312" w:hint="eastAsia"/>
          <w:kern w:val="0"/>
          <w:sz w:val="32"/>
          <w:szCs w:val="32"/>
        </w:rPr>
        <w:t>，主要原因分析</w:t>
      </w:r>
      <w:r>
        <w:rPr>
          <w:rFonts w:eastAsia="仿宋_GB2312" w:hint="eastAsia"/>
          <w:kern w:val="0"/>
          <w:sz w:val="32"/>
          <w:szCs w:val="32"/>
          <w:lang w:val="en-US" w:eastAsia="zh-CN"/>
        </w:rPr>
        <w:t>2025年事业收入增加64,648,594.13元，而一般公共预算减少465,082.80元。</w:t>
      </w:r>
    </w:p>
    <w:p w14:paraId="07DE65F4">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（二）财政拨款收入情况</w:t>
      </w:r>
    </w:p>
    <w:p w14:paraId="2ECA00D1">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2025年部门财政拨款收入42,102,555.60元，其中:本年收入42,102,555.60元，上年结转收入0.00元。本年收入中，一般公共预算财政拨款42,102,555.60元，政府性基金预算财政拨款0.00元，国有资本经营收益财政拨款0.00元。</w:t>
      </w:r>
    </w:p>
    <w:p w14:paraId="5B6CA0D2">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与上年对比减少465,082.20元，下降1.09%，主要原因分析一是退休职工职称较高者较多；二是财政资金紧张，2025年市本级财政项目经费压缩，未安排。</w:t>
      </w:r>
    </w:p>
    <w:p w14:paraId="1579D533">
      <w:pPr>
        <w:keepNext w:val="0"/>
        <w:keepLines w:val="0"/>
        <w:pageBreakBefore w:val="0"/>
        <w:widowControl w:val="0"/>
        <w:numPr>
          <w:ilvl w:val="0"/>
          <w:numId w:val="1"/>
        </w:numPr>
        <w:kinsoku/>
        <w:wordWrap/>
        <w:overflowPunct/>
        <w:topLinePunct w:val="0"/>
        <w:autoSpaceDE/>
        <w:autoSpaceDN/>
        <w:bidi w:val="0"/>
        <w:adjustRightInd/>
        <w:spacing w:line="59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预算单位支出情况</w:t>
      </w:r>
    </w:p>
    <w:p w14:paraId="769B7AE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2025年部门预算总支出379,361,707.29元。财政拨款安排支出42,102,555.60元，其中：基本支出42,102,555.60元，与上年对比降低1.09%，主要原因分析退休职工职称较高者较多；项目支出0.00元，与上年对比增加0.00%，主要原因分析2025年财政资金紧张，市本级财政项目经费压缩，未安排。</w:t>
      </w:r>
    </w:p>
    <w:p w14:paraId="004A5352">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财政拨款安排支出按功能科目分类情况，主要用于：</w:t>
      </w:r>
      <w:bookmarkStart w:id="0" w:name="_GoBack"/>
      <w:bookmarkEnd w:id="0"/>
    </w:p>
    <w:p w14:paraId="23D33958">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1、2100205“精神病医院”36,411,555.60元，主要用于发放单位在编人员工资绩效；</w:t>
      </w:r>
    </w:p>
    <w:p w14:paraId="344BA8F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2、2080502“事业单位离退休”5,691,000.00元，主要用于发放单位退休人员生活补助及公用经费。</w:t>
      </w:r>
    </w:p>
    <w:p w14:paraId="78A8288B">
      <w:pPr>
        <w:keepNext w:val="0"/>
        <w:keepLines w:val="0"/>
        <w:pageBreakBefore w:val="0"/>
        <w:widowControl w:val="0"/>
        <w:numPr>
          <w:ilvl w:val="0"/>
          <w:numId w:val="2"/>
        </w:numPr>
        <w:kinsoku/>
        <w:wordWrap/>
        <w:overflowPunct/>
        <w:topLinePunct w:val="0"/>
        <w:autoSpaceDE/>
        <w:autoSpaceDN/>
        <w:bidi w:val="0"/>
        <w:adjustRightInd/>
        <w:spacing w:line="590" w:lineRule="exact"/>
        <w:ind w:firstLine="640" w:firstLineChars="200"/>
        <w:jc w:val="both"/>
        <w:textAlignment w:val="auto"/>
        <w:rPr>
          <w:rFonts w:ascii="黑体" w:eastAsia="黑体" w:hAnsi="黑体" w:hint="eastAsia"/>
          <w:kern w:val="0"/>
          <w:sz w:val="32"/>
          <w:szCs w:val="32"/>
        </w:rPr>
      </w:pPr>
      <w:r>
        <w:rPr>
          <w:rFonts w:ascii="黑体" w:eastAsia="黑体" w:hAnsi="黑体" w:hint="eastAsia"/>
          <w:kern w:val="0"/>
          <w:sz w:val="32"/>
          <w:szCs w:val="32"/>
          <w:lang w:eastAsia="zh-CN"/>
        </w:rPr>
        <w:t>市</w:t>
      </w:r>
      <w:r>
        <w:rPr>
          <w:rFonts w:ascii="黑体" w:eastAsia="黑体" w:hAnsi="黑体"/>
          <w:kern w:val="0"/>
          <w:sz w:val="32"/>
          <w:szCs w:val="32"/>
        </w:rPr>
        <w:t>对下</w:t>
      </w:r>
      <w:r>
        <w:rPr>
          <w:rFonts w:ascii="黑体" w:eastAsia="黑体" w:hAnsi="黑体" w:hint="eastAsia"/>
          <w:kern w:val="0"/>
          <w:sz w:val="32"/>
          <w:szCs w:val="32"/>
        </w:rPr>
        <w:t>专</w:t>
      </w:r>
      <w:r>
        <w:rPr>
          <w:rFonts w:ascii="黑体" w:eastAsia="黑体" w:hAnsi="黑体"/>
          <w:kern w:val="0"/>
          <w:sz w:val="32"/>
          <w:szCs w:val="32"/>
        </w:rPr>
        <w:t>项转移支付情况</w:t>
      </w:r>
    </w:p>
    <w:p w14:paraId="01C334DB">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云南省精神病医院无市对下专项转移支付事项。</w:t>
      </w:r>
    </w:p>
    <w:p w14:paraId="0D56793F">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六、政府采购预算情况</w:t>
      </w:r>
    </w:p>
    <w:p w14:paraId="23FDC7AF">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根据《中华人民共和国政府采购法》的有关规定，编制了政府采购预算，共涉及采购项目137个，政府采购预算总额84,196,950.00元，其中：政府采购货物预算68,807,450.00元、政府采购服务预算6,489,500.00元、政府采购工程预算8,900,000.00元。</w:t>
      </w:r>
    </w:p>
    <w:p w14:paraId="2680A53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hint="eastAsia"/>
          <w:kern w:val="0"/>
          <w:sz w:val="32"/>
          <w:szCs w:val="32"/>
        </w:rPr>
      </w:pPr>
      <w:r>
        <w:rPr>
          <w:rFonts w:ascii="黑体" w:eastAsia="黑体" w:hAnsi="黑体" w:hint="eastAsia"/>
          <w:kern w:val="0"/>
          <w:sz w:val="32"/>
          <w:szCs w:val="32"/>
        </w:rPr>
        <w:t>七、部门“三公”经费增减变化情况及原因说明</w:t>
      </w:r>
    </w:p>
    <w:p w14:paraId="3854999D">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云南省精神病医院2025</w:t>
      </w:r>
      <w:r>
        <w:rPr>
          <w:rFonts w:eastAsia="仿宋_GB2312" w:hint="eastAsia"/>
          <w:kern w:val="0"/>
          <w:sz w:val="32"/>
          <w:szCs w:val="32"/>
        </w:rPr>
        <w:t>年一般公共预算财政拨款“三公”经费预算合计</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%，具体变动情况如下：</w:t>
      </w:r>
    </w:p>
    <w:p w14:paraId="4B6C3554">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（一）因公出国（境）费</w:t>
      </w:r>
    </w:p>
    <w:p w14:paraId="52BB12C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云南省精神病医院2025</w:t>
      </w:r>
      <w:r>
        <w:rPr>
          <w:rFonts w:eastAsia="仿宋_GB2312" w:hint="eastAsia"/>
          <w:kern w:val="0"/>
          <w:sz w:val="32"/>
          <w:szCs w:val="32"/>
        </w:rPr>
        <w:t>年因公出国（境）费预算为</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%，共计安排因公出国（境）团组</w:t>
      </w:r>
      <w:r>
        <w:rPr>
          <w:rFonts w:eastAsia="仿宋_GB2312" w:hint="eastAsia"/>
          <w:kern w:val="0"/>
          <w:sz w:val="32"/>
          <w:szCs w:val="32"/>
          <w:lang w:val="en-US" w:eastAsia="zh-CN"/>
        </w:rPr>
        <w:t>0</w:t>
      </w:r>
      <w:r>
        <w:rPr>
          <w:rFonts w:eastAsia="仿宋_GB2312" w:hint="eastAsia"/>
          <w:kern w:val="0"/>
          <w:sz w:val="32"/>
          <w:szCs w:val="32"/>
        </w:rPr>
        <w:t>个，因公出国（境</w:t>
      </w:r>
      <w:r>
        <w:rPr>
          <w:rFonts w:eastAsia="仿宋_GB2312" w:hint="eastAsia"/>
          <w:kern w:val="0"/>
          <w:sz w:val="32"/>
          <w:szCs w:val="32"/>
          <w:lang w:val="en-US" w:eastAsia="zh-CN"/>
        </w:rPr>
        <w:t>）0人次。</w:t>
      </w:r>
    </w:p>
    <w:p w14:paraId="0D45BE16">
      <w:pPr>
        <w:keepNext w:val="0"/>
        <w:keepLines w:val="0"/>
        <w:widowControl w:val="0"/>
        <w:suppressLineNumbers w:val="0"/>
        <w:spacing w:before="0" w:beforeAutospacing="0" w:after="0" w:afterAutospacing="0" w:line="600" w:lineRule="exact"/>
        <w:ind w:left="0" w:right="0" w:firstLine="640" w:firstLineChars="200"/>
        <w:jc w:val="both"/>
        <w:rPr>
          <w:rFonts w:ascii="楷体" w:eastAsia="楷体" w:hAnsi="楷体" w:cs="楷体" w:hint="eastAsia"/>
          <w:kern w:val="0"/>
          <w:sz w:val="32"/>
          <w:szCs w:val="32"/>
        </w:rPr>
      </w:pPr>
      <w:r>
        <w:rPr>
          <w:rFonts w:eastAsia="仿宋_GB2312" w:hint="eastAsia"/>
          <w:kern w:val="0"/>
          <w:sz w:val="32"/>
          <w:szCs w:val="32"/>
          <w:lang w:val="en-US" w:eastAsia="zh-CN"/>
        </w:rPr>
        <w:t>云南省精神病医院因公出国（境）费与上年相比无变化。</w:t>
      </w:r>
    </w:p>
    <w:p w14:paraId="26C83DED">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kern w:val="0"/>
          <w:sz w:val="32"/>
          <w:szCs w:val="32"/>
        </w:rPr>
      </w:pPr>
      <w:r>
        <w:rPr>
          <w:rFonts w:ascii="楷体_GB2312" w:eastAsia="楷体_GB2312" w:hint="eastAsia"/>
          <w:kern w:val="0"/>
          <w:sz w:val="32"/>
          <w:szCs w:val="32"/>
        </w:rPr>
        <w:t>（二）</w:t>
      </w:r>
      <w:r>
        <w:rPr>
          <w:rFonts w:ascii="楷体_GB2312" w:eastAsia="楷体_GB2312"/>
          <w:kern w:val="0"/>
          <w:sz w:val="32"/>
          <w:szCs w:val="32"/>
        </w:rPr>
        <w:t>公务接待费</w:t>
      </w:r>
    </w:p>
    <w:p w14:paraId="57DEAC7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云南省精神病医院2025</w:t>
      </w:r>
      <w:r>
        <w:rPr>
          <w:rFonts w:eastAsia="仿宋_GB2312" w:hint="eastAsia"/>
          <w:kern w:val="0"/>
          <w:sz w:val="32"/>
          <w:szCs w:val="32"/>
        </w:rPr>
        <w:t>年公务接待费预算为</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%，国内公务接待批次为</w:t>
      </w:r>
      <w:r>
        <w:rPr>
          <w:rFonts w:eastAsia="仿宋_GB2312" w:hint="eastAsia"/>
          <w:kern w:val="0"/>
          <w:sz w:val="32"/>
          <w:szCs w:val="32"/>
          <w:lang w:val="en-US" w:eastAsia="zh-CN"/>
        </w:rPr>
        <w:t>0</w:t>
      </w:r>
      <w:r>
        <w:rPr>
          <w:rFonts w:eastAsia="仿宋_GB2312" w:hint="eastAsia"/>
          <w:kern w:val="0"/>
          <w:sz w:val="32"/>
          <w:szCs w:val="32"/>
        </w:rPr>
        <w:t>次，共计接待</w:t>
      </w:r>
      <w:r>
        <w:rPr>
          <w:rFonts w:eastAsia="仿宋_GB2312" w:hint="eastAsia"/>
          <w:kern w:val="0"/>
          <w:sz w:val="32"/>
          <w:szCs w:val="32"/>
          <w:lang w:val="en-US" w:eastAsia="zh-CN"/>
        </w:rPr>
        <w:t>0</w:t>
      </w:r>
      <w:r>
        <w:rPr>
          <w:rFonts w:eastAsia="仿宋_GB2312" w:hint="eastAsia"/>
          <w:kern w:val="0"/>
          <w:sz w:val="32"/>
          <w:szCs w:val="32"/>
        </w:rPr>
        <w:t>人次。</w:t>
      </w:r>
    </w:p>
    <w:p w14:paraId="7A41808E">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云南省精神病医院公务接待费与上年相比无变化。</w:t>
      </w:r>
    </w:p>
    <w:p w14:paraId="6D59BF4C">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kern w:val="0"/>
          <w:sz w:val="32"/>
          <w:szCs w:val="32"/>
        </w:rPr>
      </w:pPr>
      <w:r>
        <w:rPr>
          <w:rFonts w:ascii="楷体_GB2312" w:eastAsia="楷体_GB2312" w:hint="eastAsia"/>
          <w:kern w:val="0"/>
          <w:sz w:val="32"/>
          <w:szCs w:val="32"/>
        </w:rPr>
        <w:t>（三）</w:t>
      </w:r>
      <w:r>
        <w:rPr>
          <w:rFonts w:ascii="楷体_GB2312" w:eastAsia="楷体_GB2312"/>
          <w:kern w:val="0"/>
          <w:sz w:val="32"/>
          <w:szCs w:val="32"/>
        </w:rPr>
        <w:t>公务用车购置及运行维护费</w:t>
      </w:r>
    </w:p>
    <w:p w14:paraId="0B4AC1F4">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云南省精神病医院2025</w:t>
      </w:r>
      <w:r>
        <w:rPr>
          <w:rFonts w:eastAsia="仿宋_GB2312" w:hint="eastAsia"/>
          <w:kern w:val="0"/>
          <w:sz w:val="32"/>
          <w:szCs w:val="32"/>
        </w:rPr>
        <w:t>年公务用车购置及运行维护费为</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%。其中：公务用车购置费</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%；公务用车运行维护费</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，较上年增加</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hint="eastAsia"/>
          <w:kern w:val="0"/>
          <w:sz w:val="32"/>
          <w:szCs w:val="32"/>
        </w:rPr>
        <w:t>%</w:t>
      </w:r>
      <w:r>
        <w:rPr>
          <w:rFonts w:eastAsia="仿宋_GB2312" w:hint="eastAsia"/>
          <w:kern w:val="0"/>
          <w:sz w:val="32"/>
          <w:szCs w:val="32"/>
          <w:lang w:eastAsia="zh-CN"/>
        </w:rPr>
        <w:t>。</w:t>
      </w:r>
      <w:r>
        <w:rPr>
          <w:rFonts w:eastAsia="仿宋_GB2312" w:hint="eastAsia"/>
          <w:kern w:val="0"/>
          <w:sz w:val="32"/>
          <w:szCs w:val="32"/>
        </w:rPr>
        <w:t>共计购置公务用车</w:t>
      </w:r>
      <w:r>
        <w:rPr>
          <w:rFonts w:eastAsia="仿宋_GB2312" w:hint="eastAsia"/>
          <w:kern w:val="0"/>
          <w:sz w:val="32"/>
          <w:szCs w:val="32"/>
          <w:lang w:val="en-US" w:eastAsia="zh-CN"/>
        </w:rPr>
        <w:t>0</w:t>
      </w:r>
      <w:r>
        <w:rPr>
          <w:rFonts w:eastAsia="仿宋_GB2312" w:hint="eastAsia"/>
          <w:kern w:val="0"/>
          <w:sz w:val="32"/>
          <w:szCs w:val="32"/>
        </w:rPr>
        <w:t>辆，年末公务用车保有量为</w:t>
      </w:r>
      <w:r>
        <w:rPr>
          <w:rFonts w:eastAsia="仿宋_GB2312" w:hint="eastAsia"/>
          <w:kern w:val="0"/>
          <w:sz w:val="32"/>
          <w:szCs w:val="32"/>
          <w:lang w:val="en-US" w:eastAsia="zh-CN"/>
        </w:rPr>
        <w:t>5</w:t>
      </w:r>
      <w:r>
        <w:rPr>
          <w:rFonts w:eastAsia="仿宋_GB2312" w:hint="eastAsia"/>
          <w:kern w:val="0"/>
          <w:sz w:val="32"/>
          <w:szCs w:val="32"/>
        </w:rPr>
        <w:t>辆</w:t>
      </w:r>
      <w:r>
        <w:rPr>
          <w:rFonts w:eastAsia="仿宋_GB2312" w:hint="eastAsia"/>
          <w:kern w:val="0"/>
          <w:sz w:val="32"/>
          <w:szCs w:val="32"/>
          <w:lang w:eastAsia="zh-CN"/>
        </w:rPr>
        <w:t>，</w:t>
      </w:r>
      <w:r>
        <w:rPr>
          <w:rFonts w:eastAsia="仿宋_GB2312" w:hint="eastAsia"/>
          <w:kern w:val="0"/>
          <w:sz w:val="32"/>
          <w:szCs w:val="32"/>
          <w:lang w:val="en-US" w:eastAsia="zh-CN"/>
        </w:rPr>
        <w:t>其产生的公务用车购置及运行费，财政无拨款，是医院事业收入进行支付。</w:t>
      </w:r>
    </w:p>
    <w:p w14:paraId="5441D13B">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val="en-US" w:eastAsia="zh-CN"/>
        </w:rPr>
        <w:t>云南省精神病医院公务用车购置及运行维护费与上年相比无变化。</w:t>
      </w:r>
    </w:p>
    <w:p w14:paraId="0034A3BA">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hint="eastAsia"/>
          <w:kern w:val="0"/>
          <w:sz w:val="32"/>
          <w:szCs w:val="32"/>
        </w:rPr>
      </w:pPr>
      <w:r>
        <w:rPr>
          <w:rFonts w:ascii="黑体" w:eastAsia="黑体" w:hAnsi="黑体" w:hint="eastAsia"/>
          <w:kern w:val="0"/>
          <w:sz w:val="32"/>
          <w:szCs w:val="32"/>
        </w:rPr>
        <w:t>八、重点项目预算绩效目标情况</w:t>
      </w:r>
    </w:p>
    <w:p w14:paraId="31BC0D87">
      <w:pPr>
        <w:spacing w:line="590" w:lineRule="exact"/>
        <w:ind w:firstLine="640" w:firstLineChars="200"/>
        <w:rPr>
          <w:rFonts w:ascii="Times New Roman" w:eastAsia="仿宋_GB2312" w:hint="eastAsia"/>
          <w:spacing w:val="0"/>
          <w:kern w:val="0"/>
          <w:sz w:val="32"/>
          <w:szCs w:val="32"/>
          <w:lang w:val="en-US" w:eastAsia="zh-CN"/>
        </w:rPr>
      </w:pPr>
      <w:r>
        <w:rPr>
          <w:rFonts w:ascii="Times New Roman" w:eastAsia="仿宋_GB2312" w:hint="eastAsia"/>
          <w:spacing w:val="0"/>
          <w:kern w:val="0"/>
          <w:sz w:val="32"/>
          <w:szCs w:val="32"/>
          <w:lang w:val="en-US" w:eastAsia="zh-CN"/>
        </w:rPr>
        <w:t>（一）新增资产配置经费资金项目，预算金额50,849,500.00元，预算绩效目标一是为提升医院现代化管理水平、满足临床业务智能化和行政管理精细化要求的重要举措及等级医院评审整改相关要求和医院实际情况，适应现代化医院的高质量发展要求，以信息化建设为抓手，启动智慧医院建设和数据中心建设，主要包括但不限于智慧医院建设、数据中心建设、系统集成及改造、评级支持服务等，从而实现电子病历应用水平分级评价达到五级、互联互通标准化成熟度测评达到四级甲等、智慧服务达到三级标准的目标；二是省级临床医学中心购买磁共振成像仪等设备用于提升医院的科研能力，在科研创新层面推动精神疾病的基础研究，构建区域精神疾病影像学数据库，提升科研转化效率，增强医院辐射区域能力及诊疗吸引力，另一方面进一步提高全院精神疾病的诊疗能力，特别是急性重症患者的救治能力，辅助特定精神疾病患者的急性期治疗，满足特殊群体的呼吸支持需求，从而整体提高医院医疗服务质量和患者信任度；三是其他设备资产的购置用于投入临床使用，提高医院诊疗水平和满足人民群众对住院诊疗的需求，提升患者就医体验；四是进行</w:t>
      </w:r>
      <w:r>
        <w:rPr>
          <w:rFonts w:ascii="Times New Roman" w:eastAsia="仿宋_GB2312" w:hint="eastAsia"/>
          <w:spacing w:val="0"/>
          <w:kern w:val="0"/>
          <w:sz w:val="32"/>
          <w:szCs w:val="32"/>
        </w:rPr>
        <w:t>多媒体教室建设项目</w:t>
      </w:r>
      <w:r>
        <w:rPr>
          <w:rFonts w:ascii="Times New Roman" w:eastAsia="仿宋_GB2312" w:hint="eastAsia"/>
          <w:spacing w:val="0"/>
          <w:kern w:val="0"/>
          <w:sz w:val="32"/>
          <w:szCs w:val="32"/>
          <w:lang w:eastAsia="zh-CN"/>
        </w:rPr>
        <w:t>，</w:t>
      </w:r>
      <w:r>
        <w:rPr>
          <w:rFonts w:ascii="Times New Roman" w:eastAsia="仿宋_GB2312" w:hint="eastAsia"/>
          <w:spacing w:val="0"/>
          <w:kern w:val="0"/>
          <w:sz w:val="32"/>
          <w:szCs w:val="32"/>
          <w:lang w:val="en-US" w:eastAsia="zh-CN"/>
        </w:rPr>
        <w:t>从而</w:t>
      </w:r>
      <w:r>
        <w:rPr>
          <w:rFonts w:ascii="Times New Roman" w:eastAsia="仿宋_GB2312" w:hint="eastAsia"/>
          <w:spacing w:val="0"/>
          <w:kern w:val="0"/>
          <w:sz w:val="32"/>
          <w:szCs w:val="32"/>
        </w:rPr>
        <w:t>助力医学教育与教学质量提升，提高科研与学术交流水平，支持临床培训与患者</w:t>
      </w:r>
      <w:r>
        <w:rPr>
          <w:rFonts w:ascii="Times New Roman" w:eastAsia="仿宋_GB2312" w:hint="eastAsia"/>
          <w:spacing w:val="0"/>
          <w:kern w:val="0"/>
          <w:sz w:val="32"/>
          <w:szCs w:val="32"/>
          <w:lang w:val="en-US" w:eastAsia="zh-CN"/>
        </w:rPr>
        <w:t>教育，补齐云南省精神病医院在信息化教育和远程医学领域的短板，助力医院实现现代化管理、教学和服务的目标；五是临床技能中心系统升级，便于更好开展教学工作，提升教学能力；六是用于家具、用具、通用设备（电脑、打印机）的更新换代。</w:t>
      </w:r>
    </w:p>
    <w:tbl>
      <w:tblPr>
        <w:tblStyle w:val="TableNormal"/>
        <w:tblW w:w="982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902"/>
        <w:gridCol w:w="1043"/>
        <w:gridCol w:w="2088"/>
        <w:gridCol w:w="615"/>
        <w:gridCol w:w="1086"/>
        <w:gridCol w:w="930"/>
        <w:gridCol w:w="1080"/>
        <w:gridCol w:w="2081"/>
      </w:tblGrid>
      <w:tr w14:paraId="171238D3">
        <w:tblPrEx>
          <w:tblW w:w="982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90"/>
        </w:trPr>
        <w:tc>
          <w:tcPr>
            <w:tcW w:w="9825" w:type="dxa"/>
            <w:gridSpan w:val="8"/>
            <w:tcBorders>
              <w:top w:val="nil"/>
              <w:left w:val="nil"/>
              <w:bottom w:val="nil"/>
              <w:right w:val="nil"/>
            </w:tcBorders>
            <w:noWrap w:val="0"/>
            <w:vAlign w:val="center"/>
          </w:tcPr>
          <w:p w14:paraId="2E60A212">
            <w:pPr>
              <w:keepNext w:val="0"/>
              <w:keepLines w:val="0"/>
              <w:widowControl/>
              <w:suppressLineNumbers w:val="0"/>
              <w:jc w:val="center"/>
              <w:textAlignment w:val="center"/>
              <w:rPr>
                <w:rFonts w:ascii="宋体" w:eastAsia="宋体" w:hAnsi="宋体" w:cs="宋体" w:hint="eastAsia"/>
                <w:i w:val="0"/>
                <w:iCs w:val="0"/>
                <w:color w:val="000000"/>
                <w:sz w:val="30"/>
                <w:szCs w:val="30"/>
                <w:u w:val="none"/>
              </w:rPr>
            </w:pPr>
            <w:r>
              <w:rPr>
                <w:rFonts w:ascii="仿宋_GB2312" w:eastAsia="仿宋_GB2312" w:hint="eastAsia"/>
                <w:spacing w:val="14"/>
                <w:sz w:val="32"/>
                <w:szCs w:val="32"/>
                <w:lang w:val="en-US" w:eastAsia="zh-CN"/>
              </w:rPr>
              <w:t>项目支出绩效目标表</w:t>
            </w:r>
          </w:p>
        </w:tc>
      </w:tr>
      <w:tr w14:paraId="7EAEBB2F">
        <w:tblPrEx>
          <w:tblW w:w="9825" w:type="dxa"/>
          <w:tblInd w:w="93" w:type="dxa"/>
          <w:shd w:val="clear" w:color="auto" w:fill="auto"/>
          <w:tblCellMar>
            <w:top w:w="0" w:type="dxa"/>
            <w:left w:w="108" w:type="dxa"/>
            <w:bottom w:w="0" w:type="dxa"/>
            <w:right w:w="108" w:type="dxa"/>
          </w:tblCellMar>
        </w:tblPrEx>
        <w:trPr>
          <w:trHeight w:val="90"/>
        </w:trPr>
        <w:tc>
          <w:tcPr>
            <w:tcW w:w="9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B5AD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一级指标</w:t>
            </w:r>
          </w:p>
        </w:tc>
        <w:tc>
          <w:tcPr>
            <w:tcW w:w="10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FBB6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二级指标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ACFB2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三级指标</w:t>
            </w:r>
          </w:p>
        </w:tc>
        <w:tc>
          <w:tcPr>
            <w:tcW w:w="6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3CCD8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指标性质</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7FB7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指标值</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F2542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度量单位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2E119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指标属性</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B6E3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指标内容</w:t>
            </w:r>
          </w:p>
        </w:tc>
      </w:tr>
      <w:tr w14:paraId="1ECDFE04">
        <w:tblPrEx>
          <w:tblW w:w="9825" w:type="dxa"/>
          <w:tblInd w:w="93" w:type="dxa"/>
          <w:shd w:val="clear" w:color="auto" w:fill="auto"/>
          <w:tblCellMar>
            <w:top w:w="0" w:type="dxa"/>
            <w:left w:w="108" w:type="dxa"/>
            <w:bottom w:w="0" w:type="dxa"/>
            <w:right w:w="108" w:type="dxa"/>
          </w:tblCellMar>
        </w:tblPrEx>
        <w:trPr>
          <w:trHeight w:val="18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9C534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1A29D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C7791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2025年完成33台（件）及以上医疗设备的采购</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4869B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BAF3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33</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0652A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41A6A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88BB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2025年内完成预算内医疗设备采购，且投入临床科室使用，产生经济和社会效益。</w:t>
            </w:r>
          </w:p>
        </w:tc>
      </w:tr>
      <w:tr w14:paraId="25D05CB4">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94868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FD5C9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3B9B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台式电脑</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2EB44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807AC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110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CD142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55766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DE133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台式电脑的采购完成数量</w:t>
            </w:r>
          </w:p>
        </w:tc>
      </w:tr>
      <w:tr w14:paraId="2C4B9689">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5E89A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8C78D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A207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激光打印机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A316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953F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47</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6F51F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059FC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1D017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激光打印机的采购完成数量</w:t>
            </w:r>
          </w:p>
        </w:tc>
      </w:tr>
      <w:tr w14:paraId="617E1606">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38DEB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FDD73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43189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喷墨打印机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11821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5520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2</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30E60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F01E4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65BE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在2025年完成2台喷墨打印机采购</w:t>
            </w:r>
          </w:p>
        </w:tc>
      </w:tr>
      <w:tr w14:paraId="3428348F">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83E6A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A4B5B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C7A7B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条码打印机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19B1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D458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3</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0D0C4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38908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0040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条码打印机的采购完成数量</w:t>
            </w:r>
          </w:p>
        </w:tc>
      </w:tr>
      <w:tr w14:paraId="26EEBA82">
        <w:tblPrEx>
          <w:tblW w:w="9825" w:type="dxa"/>
          <w:tblInd w:w="93" w:type="dxa"/>
          <w:shd w:val="clear" w:color="auto" w:fill="auto"/>
          <w:tblCellMar>
            <w:top w:w="0" w:type="dxa"/>
            <w:left w:w="108" w:type="dxa"/>
            <w:bottom w:w="0" w:type="dxa"/>
            <w:right w:w="108" w:type="dxa"/>
          </w:tblCellMar>
        </w:tblPrEx>
        <w:trPr>
          <w:trHeight w:val="803"/>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7A975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FC0F6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E75F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中心机房建设项目</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262AD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1A7E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90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CC9A3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ED9AE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FFDB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完成中心机房建设项目采购及合同签订</w:t>
            </w:r>
          </w:p>
        </w:tc>
      </w:tr>
      <w:tr w14:paraId="698D0F23">
        <w:tblPrEx>
          <w:tblW w:w="9825" w:type="dxa"/>
          <w:tblInd w:w="93" w:type="dxa"/>
          <w:shd w:val="clear" w:color="auto" w:fill="auto"/>
          <w:tblCellMar>
            <w:top w:w="0" w:type="dxa"/>
            <w:left w:w="108" w:type="dxa"/>
            <w:bottom w:w="0" w:type="dxa"/>
            <w:right w:w="108" w:type="dxa"/>
          </w:tblCellMar>
        </w:tblPrEx>
        <w:trPr>
          <w:trHeight w:val="126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B017E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D11EE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331A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昆明医科大学附属精神卫生中心多媒体教室建设项目</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AB528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4878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6537C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42DA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1DAA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完成昆明医科大学附属精神卫生中心多媒体教室建设项目采购及合同签订</w:t>
            </w:r>
          </w:p>
        </w:tc>
      </w:tr>
      <w:tr w14:paraId="45E0D344">
        <w:tblPrEx>
          <w:tblW w:w="9825" w:type="dxa"/>
          <w:tblInd w:w="93" w:type="dxa"/>
          <w:shd w:val="clear" w:color="auto" w:fill="auto"/>
          <w:tblCellMar>
            <w:top w:w="0" w:type="dxa"/>
            <w:left w:w="108" w:type="dxa"/>
            <w:bottom w:w="0" w:type="dxa"/>
            <w:right w:w="108" w:type="dxa"/>
          </w:tblCellMar>
        </w:tblPrEx>
        <w:trPr>
          <w:trHeight w:val="136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21E34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7BD7C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5CCF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昆医附属精神卫生中心教学设施（2、5楼）升级项目</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23E58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4D0BA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B20DD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DEA11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DB2A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完成昆医附属精神卫生中心教学设施（2、5楼）升级项目采购及合同签订</w:t>
            </w:r>
          </w:p>
        </w:tc>
      </w:tr>
      <w:tr w14:paraId="30F987C9">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D1335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D345D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37B94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病区播放系统</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1BB5C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BD3F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3</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234DF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02C73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7E40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病区播放系统的采购完成数量</w:t>
            </w:r>
          </w:p>
        </w:tc>
      </w:tr>
      <w:tr w14:paraId="608CE11A">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782F2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6793F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8EC0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笔记本电脑</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D2EDC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C0F3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7</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83CC6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AAB9F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D7F1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笔记本电脑的采购完成数量</w:t>
            </w:r>
          </w:p>
        </w:tc>
      </w:tr>
      <w:tr w14:paraId="5016A45B">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12E1F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17B2F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10540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复印机（黑白）</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6BE4B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366A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B0D85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84993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5D117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复印机（黑白）的采购完成数量</w:t>
            </w:r>
          </w:p>
        </w:tc>
      </w:tr>
      <w:tr w14:paraId="19E0B2A5">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2064B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2ED9C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E67D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多媒体教学一体机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1D8F0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1BF5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4</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7D876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3E7C0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007F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多媒体教学一体机的采购完成数量</w:t>
            </w:r>
          </w:p>
        </w:tc>
      </w:tr>
      <w:tr w14:paraId="2A547B2C">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526C1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EF7E7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D900E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打印复印一体机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ED04E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1DBD3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4</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8EF6C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E3571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2DFD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打印复印一体机的采购完成数量</w:t>
            </w:r>
          </w:p>
        </w:tc>
      </w:tr>
      <w:tr w14:paraId="11146A1B">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49D74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2B17E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7637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打复印一体机</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21405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5D4F6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6A100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723F2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B61E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打复印一体机的采购完成数量</w:t>
            </w:r>
          </w:p>
        </w:tc>
      </w:tr>
      <w:tr w14:paraId="7C1B8530">
        <w:tblPrEx>
          <w:tblW w:w="9825" w:type="dxa"/>
          <w:tblInd w:w="93" w:type="dxa"/>
          <w:shd w:val="clear" w:color="auto" w:fill="auto"/>
          <w:tblCellMar>
            <w:top w:w="0" w:type="dxa"/>
            <w:left w:w="108" w:type="dxa"/>
            <w:bottom w:w="0" w:type="dxa"/>
            <w:right w:w="108" w:type="dxa"/>
          </w:tblCellMar>
        </w:tblPrEx>
        <w:trPr>
          <w:trHeight w:val="45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8343A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8ABF5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F9EF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扫描枪</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01CB2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D1C8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3</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4604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96BC7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AFC5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扫描枪的采购完成数量</w:t>
            </w:r>
          </w:p>
        </w:tc>
      </w:tr>
      <w:tr w14:paraId="2300A90D">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8AAA6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06CC4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100FF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移动硬盘</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A405D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27E9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2</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7416C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个</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DBF92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9967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移动硬盘的采购完成数量</w:t>
            </w:r>
          </w:p>
        </w:tc>
      </w:tr>
      <w:tr w14:paraId="2DC3E3AB">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06BAC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057C9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C47D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智慧医院建设项目</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D653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2838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65419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16749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7BD2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完成智慧医院建设项目的采购及合同签订</w:t>
            </w:r>
          </w:p>
        </w:tc>
      </w:tr>
      <w:tr w14:paraId="66935EB9">
        <w:tblPrEx>
          <w:tblW w:w="9825" w:type="dxa"/>
          <w:tblInd w:w="93" w:type="dxa"/>
          <w:shd w:val="clear" w:color="auto" w:fill="auto"/>
          <w:tblCellMar>
            <w:top w:w="0" w:type="dxa"/>
            <w:left w:w="108" w:type="dxa"/>
            <w:bottom w:w="0" w:type="dxa"/>
            <w:right w:w="108" w:type="dxa"/>
          </w:tblCellMar>
        </w:tblPrEx>
        <w:trPr>
          <w:trHeight w:val="112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876DC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8CD0C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数量指标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32C67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临床技能中心系统升级</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7E86D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391E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5ED69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套</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5FC90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C54E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完成临床技能中心系统升级项目的采购及合同签订</w:t>
            </w:r>
          </w:p>
        </w:tc>
      </w:tr>
      <w:tr w14:paraId="16153256">
        <w:tblPrEx>
          <w:tblW w:w="9825" w:type="dxa"/>
          <w:tblInd w:w="93" w:type="dxa"/>
          <w:shd w:val="clear" w:color="auto" w:fill="auto"/>
          <w:tblCellMar>
            <w:top w:w="0" w:type="dxa"/>
            <w:left w:w="108" w:type="dxa"/>
            <w:bottom w:w="0" w:type="dxa"/>
            <w:right w:w="108" w:type="dxa"/>
          </w:tblCellMar>
        </w:tblPrEx>
        <w:trPr>
          <w:trHeight w:val="67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8C31D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3A15F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F8F9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电脑验收通过率</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56B30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82C1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223AD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5F658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B4D6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评价电脑验收情况及通过率。</w:t>
            </w:r>
          </w:p>
        </w:tc>
      </w:tr>
      <w:tr w14:paraId="0AFFA6AE">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E3124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E85D9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7173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各型号打印机验收通过率</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C3CB7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F8CB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100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BE7C2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3F0E3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1B7B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评价各型号打印机验收情况及通过率。</w:t>
            </w:r>
          </w:p>
        </w:tc>
      </w:tr>
      <w:tr w14:paraId="6046D323">
        <w:tblPrEx>
          <w:tblW w:w="9825" w:type="dxa"/>
          <w:tblInd w:w="93" w:type="dxa"/>
          <w:shd w:val="clear" w:color="auto" w:fill="auto"/>
          <w:tblCellMar>
            <w:top w:w="0" w:type="dxa"/>
            <w:left w:w="108" w:type="dxa"/>
            <w:bottom w:w="0" w:type="dxa"/>
            <w:right w:w="108" w:type="dxa"/>
          </w:tblCellMar>
        </w:tblPrEx>
        <w:trPr>
          <w:trHeight w:val="387"/>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60C94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BDA41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500A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昆明医科大学附属精神卫生中心多媒体教室建设项目、昆医附属精神卫生中心教学设施（2、5楼）升级项目、病区播放系统建设项目采购完成率</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8F26E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8DE78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60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1A001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7AB5C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CEB41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评价昆明医科大学附属精神卫生中心多媒体教室建设项目、昆医附属精神卫生中心教学设施（2、5楼）升级项目、病区播放系统建设项目采购完成率</w:t>
            </w:r>
          </w:p>
        </w:tc>
      </w:tr>
      <w:tr w14:paraId="5ADC8E76">
        <w:tblPrEx>
          <w:tblW w:w="9825" w:type="dxa"/>
          <w:tblInd w:w="93" w:type="dxa"/>
          <w:shd w:val="clear" w:color="auto" w:fill="auto"/>
          <w:tblCellMar>
            <w:top w:w="0" w:type="dxa"/>
            <w:left w:w="108" w:type="dxa"/>
            <w:bottom w:w="0" w:type="dxa"/>
            <w:right w:w="108" w:type="dxa"/>
          </w:tblCellMar>
        </w:tblPrEx>
        <w:trPr>
          <w:trHeight w:val="156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6D63C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0207E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93CB0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中心机房建设项目、智慧医院建设项目、临床技能中心系统升级建设项目采购完成率</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FB271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CE93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60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1E2EB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309EA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4D3B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中心机房建设项目、智慧医院建设项目、临床技能中心系统升级建设项目采购完成率</w:t>
            </w:r>
          </w:p>
        </w:tc>
      </w:tr>
      <w:tr w14:paraId="37F8D029">
        <w:tblPrEx>
          <w:tblW w:w="9825" w:type="dxa"/>
          <w:tblInd w:w="93" w:type="dxa"/>
          <w:shd w:val="clear" w:color="auto" w:fill="auto"/>
          <w:tblCellMar>
            <w:top w:w="0" w:type="dxa"/>
            <w:left w:w="108" w:type="dxa"/>
            <w:bottom w:w="0" w:type="dxa"/>
            <w:right w:w="108" w:type="dxa"/>
          </w:tblCellMar>
        </w:tblPrEx>
        <w:trPr>
          <w:trHeight w:val="2785"/>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1240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效益指标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F5B61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社会效益</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1B9B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新购置医疗设备投入使用后使用科室和患者满意</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83089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53A9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CC74E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2F462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7241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科室医务人员和服务的患者对2025年新投入使用的医疗设备感到满意，满足患者的诊疗需求和科室发展的需要，长期使用产生良好的社会效益。</w:t>
            </w:r>
          </w:p>
        </w:tc>
      </w:tr>
      <w:tr w14:paraId="1BE0FE12">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139A7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效益指标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80393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社会效益</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95AD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信息化设备的使用率</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D0978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BF7E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BFBD4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36498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AF50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信息化设备的使用率大于等于80%以上</w:t>
            </w:r>
          </w:p>
        </w:tc>
      </w:tr>
      <w:tr w14:paraId="7985BA8F">
        <w:tblPrEx>
          <w:tblW w:w="9825" w:type="dxa"/>
          <w:tblInd w:w="93" w:type="dxa"/>
          <w:shd w:val="clear" w:color="auto" w:fill="auto"/>
          <w:tblCellMar>
            <w:top w:w="0" w:type="dxa"/>
            <w:left w:w="108" w:type="dxa"/>
            <w:bottom w:w="0" w:type="dxa"/>
            <w:right w:w="108" w:type="dxa"/>
          </w:tblCellMar>
        </w:tblPrEx>
        <w:trPr>
          <w:trHeight w:val="9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961EF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满意度指标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D41AF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服务对象满意度</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E2AEE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医务人员和患者的满意度</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53E0C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B96D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F6CC3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1EA66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9DF5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新医疗设备购置完成投入临床使用，增加科室的诊疗手段，为患者提供新的有效的治疗方式的选择，提升医院的社会影响力，更好的为广大人民群众提供高效优质医疗服务。</w:t>
            </w:r>
          </w:p>
        </w:tc>
      </w:tr>
      <w:tr w14:paraId="639B9927">
        <w:tblPrEx>
          <w:tblW w:w="9825" w:type="dxa"/>
          <w:tblInd w:w="93" w:type="dxa"/>
          <w:shd w:val="clear" w:color="auto" w:fill="auto"/>
          <w:tblCellMar>
            <w:top w:w="0" w:type="dxa"/>
            <w:left w:w="108" w:type="dxa"/>
            <w:bottom w:w="0" w:type="dxa"/>
            <w:right w:w="108" w:type="dxa"/>
          </w:tblCellMar>
        </w:tblPrEx>
        <w:trPr>
          <w:trHeight w:val="900"/>
        </w:trPr>
        <w:tc>
          <w:tcPr>
            <w:tcW w:w="90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4697D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满意度指标</w:t>
            </w:r>
          </w:p>
        </w:tc>
        <w:tc>
          <w:tcPr>
            <w:tcW w:w="104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F3603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服务对象满意度</w:t>
            </w:r>
          </w:p>
        </w:tc>
        <w:tc>
          <w:tcPr>
            <w:tcW w:w="20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A415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信息化服务对象满意度</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EBB5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2554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12B01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F6931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208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53E1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信息化相关设备服务对象满意度大于等于80%</w:t>
            </w:r>
          </w:p>
        </w:tc>
      </w:tr>
    </w:tbl>
    <w:p w14:paraId="3D06B8F2">
      <w:pPr>
        <w:keepNext w:val="0"/>
        <w:keepLines w:val="0"/>
        <w:pageBreakBefore w:val="0"/>
        <w:widowControl w:val="0"/>
        <w:kinsoku/>
        <w:wordWrap/>
        <w:overflowPunct/>
        <w:topLinePunct w:val="0"/>
        <w:autoSpaceDE/>
        <w:autoSpaceDN/>
        <w:bidi w:val="0"/>
        <w:adjustRightInd/>
        <w:snapToGrid w:val="0"/>
        <w:spacing w:line="590" w:lineRule="exact"/>
        <w:jc w:val="both"/>
        <w:textAlignment w:val="auto"/>
        <w:rPr>
          <w:rFonts w:ascii="Times New Roman" w:eastAsia="仿宋_GB2312" w:hint="eastAsia"/>
          <w:spacing w:val="0"/>
          <w:kern w:val="0"/>
          <w:sz w:val="32"/>
          <w:szCs w:val="32"/>
          <w:lang w:val="en-US" w:eastAsia="zh-CN"/>
        </w:rPr>
      </w:pPr>
      <w:r>
        <w:rPr>
          <w:rFonts w:ascii="仿宋_GB2312" w:eastAsia="仿宋_GB2312" w:hint="eastAsia"/>
          <w:spacing w:val="14"/>
          <w:sz w:val="32"/>
          <w:szCs w:val="32"/>
          <w:lang w:val="en-US" w:eastAsia="zh-CN"/>
        </w:rPr>
        <w:t>（二）</w:t>
      </w:r>
      <w:r>
        <w:rPr>
          <w:rFonts w:ascii="Times New Roman" w:eastAsia="仿宋_GB2312" w:hint="eastAsia"/>
          <w:spacing w:val="0"/>
          <w:kern w:val="0"/>
          <w:sz w:val="32"/>
          <w:szCs w:val="32"/>
          <w:lang w:val="en-US" w:eastAsia="zh-CN"/>
        </w:rPr>
        <w:t>2025年人才科研经费项目，预算金额</w:t>
      </w:r>
      <w:r>
        <w:rPr>
          <w:rFonts w:ascii="仿宋_GB2312" w:eastAsia="仿宋_GB2312" w:hint="eastAsia"/>
          <w:spacing w:val="14"/>
          <w:sz w:val="32"/>
          <w:szCs w:val="32"/>
          <w:lang w:val="en-US" w:eastAsia="zh-CN"/>
        </w:rPr>
        <w:t>2,270,000.00元，</w:t>
      </w:r>
      <w:r>
        <w:rPr>
          <w:rFonts w:ascii="Times New Roman" w:eastAsia="仿宋_GB2312" w:hint="eastAsia"/>
          <w:spacing w:val="0"/>
          <w:kern w:val="0"/>
          <w:sz w:val="32"/>
          <w:szCs w:val="32"/>
          <w:lang w:val="en-US" w:eastAsia="zh-CN"/>
        </w:rPr>
        <w:t>预算绩效目标用于我院2025年的各类科研项目支持，科研平台建设，人才培养与引进，学术活动与科研激励，学生培养及教学支持等方面。</w:t>
      </w:r>
    </w:p>
    <w:tbl>
      <w:tblPr>
        <w:tblStyle w:val="TableNormal"/>
        <w:tblW w:w="868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900"/>
        <w:gridCol w:w="1080"/>
        <w:gridCol w:w="1080"/>
        <w:gridCol w:w="870"/>
        <w:gridCol w:w="885"/>
        <w:gridCol w:w="870"/>
        <w:gridCol w:w="960"/>
        <w:gridCol w:w="2040"/>
      </w:tblGrid>
      <w:tr w14:paraId="1DFD8099">
        <w:tblPrEx>
          <w:tblW w:w="8685"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trHeight w:val="960"/>
        </w:trPr>
        <w:tc>
          <w:tcPr>
            <w:tcW w:w="8685" w:type="dxa"/>
            <w:gridSpan w:val="8"/>
            <w:tcBorders>
              <w:top w:val="nil"/>
              <w:left w:val="nil"/>
              <w:bottom w:val="nil"/>
              <w:right w:val="nil"/>
            </w:tcBorders>
            <w:shd w:val="clear" w:color="auto" w:fill="auto"/>
            <w:noWrap/>
            <w:vAlign w:val="center"/>
          </w:tcPr>
          <w:p w14:paraId="488F0DF4">
            <w:pPr>
              <w:keepNext w:val="0"/>
              <w:keepLines w:val="0"/>
              <w:widowControl/>
              <w:suppressLineNumbers w:val="0"/>
              <w:jc w:val="center"/>
              <w:textAlignment w:val="center"/>
              <w:rPr>
                <w:rFonts w:ascii="楷体_GB2312" w:eastAsia="楷体_GB2312" w:hAnsi="宋体" w:cs="楷体_GB2312"/>
                <w:i w:val="0"/>
                <w:iCs w:val="0"/>
                <w:color w:val="000000"/>
                <w:sz w:val="36"/>
                <w:szCs w:val="36"/>
                <w:u w:val="none"/>
              </w:rPr>
            </w:pPr>
            <w:r>
              <w:rPr>
                <w:rFonts w:ascii="仿宋_GB2312" w:eastAsia="仿宋_GB2312" w:hint="default"/>
                <w:spacing w:val="14"/>
                <w:sz w:val="32"/>
                <w:szCs w:val="32"/>
                <w:lang w:val="en-US" w:eastAsia="zh-CN"/>
              </w:rPr>
              <w:t>项目支出绩效目标表</w:t>
            </w:r>
          </w:p>
        </w:tc>
      </w:tr>
      <w:tr w14:paraId="6D90375E">
        <w:tblPrEx>
          <w:tblW w:w="8685" w:type="dxa"/>
          <w:tblInd w:w="93" w:type="dxa"/>
          <w:shd w:val="clear" w:color="auto" w:fill="auto"/>
          <w:tblCellMar>
            <w:top w:w="0" w:type="dxa"/>
            <w:left w:w="108" w:type="dxa"/>
            <w:bottom w:w="0" w:type="dxa"/>
            <w:right w:w="108" w:type="dxa"/>
          </w:tblCellMar>
        </w:tblPrEx>
        <w:trPr>
          <w:trHeight w:val="800"/>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7384C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一级指标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6F76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二级指标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333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三级指标</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ABE1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指标性质</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09D2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指标值</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4641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度量单位</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EF5B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指标属性</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2921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指标内容</w:t>
            </w:r>
          </w:p>
        </w:tc>
      </w:tr>
      <w:tr w14:paraId="3393E1FE">
        <w:tblPrEx>
          <w:tblW w:w="8685" w:type="dxa"/>
          <w:tblInd w:w="93" w:type="dxa"/>
          <w:shd w:val="clear" w:color="auto" w:fill="auto"/>
          <w:tblCellMar>
            <w:top w:w="0" w:type="dxa"/>
            <w:left w:w="108" w:type="dxa"/>
            <w:bottom w:w="0" w:type="dxa"/>
            <w:right w:w="108" w:type="dxa"/>
          </w:tblCellMar>
        </w:tblPrEx>
        <w:trPr>
          <w:trHeight w:val="1040"/>
        </w:trPr>
        <w:tc>
          <w:tcPr>
            <w:tcW w:w="9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FF12B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2027C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2BA74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科研成果质量提高</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1A38C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10BA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7BDC7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458A4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定性指标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5FA30">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在上一年度基础上提升成果产出质量</w:t>
            </w:r>
          </w:p>
        </w:tc>
      </w:tr>
      <w:tr w14:paraId="2AE36C77">
        <w:tblPrEx>
          <w:tblW w:w="8685" w:type="dxa"/>
          <w:tblInd w:w="93" w:type="dxa"/>
          <w:shd w:val="clear" w:color="auto" w:fill="auto"/>
          <w:tblCellMar>
            <w:top w:w="0" w:type="dxa"/>
            <w:left w:w="108" w:type="dxa"/>
            <w:bottom w:w="0" w:type="dxa"/>
            <w:right w:w="108" w:type="dxa"/>
          </w:tblCellMar>
        </w:tblPrEx>
        <w:trPr>
          <w:trHeight w:val="1100"/>
        </w:trPr>
        <w:tc>
          <w:tcPr>
            <w:tcW w:w="9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629D3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效益指标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17D65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可持续影响</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1A84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科研总体质量水平及影响力</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601CFD">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851A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993E7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F4A39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定性指标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7A49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总体科研水平较上一年度提升10-20%</w:t>
            </w:r>
          </w:p>
        </w:tc>
      </w:tr>
      <w:tr w14:paraId="7A72C260">
        <w:tblPrEx>
          <w:tblW w:w="8685" w:type="dxa"/>
          <w:tblInd w:w="93" w:type="dxa"/>
          <w:shd w:val="clear" w:color="auto" w:fill="auto"/>
          <w:tblCellMar>
            <w:top w:w="0" w:type="dxa"/>
            <w:left w:w="108" w:type="dxa"/>
            <w:bottom w:w="0" w:type="dxa"/>
            <w:right w:w="108" w:type="dxa"/>
          </w:tblCellMar>
        </w:tblPrEx>
        <w:trPr>
          <w:trHeight w:val="840"/>
        </w:trPr>
        <w:tc>
          <w:tcPr>
            <w:tcW w:w="9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22FC8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满意度指标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677F6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服务对象满意度</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9C72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服务对象满意度</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9F075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90D84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85</w:t>
            </w:r>
          </w:p>
        </w:tc>
        <w:tc>
          <w:tcPr>
            <w:tcW w:w="8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9FA4B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68862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定性指标</w:t>
            </w:r>
          </w:p>
        </w:tc>
        <w:tc>
          <w:tcPr>
            <w:tcW w:w="2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0A23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提升服务对象满意度10%</w:t>
            </w:r>
          </w:p>
        </w:tc>
      </w:tr>
    </w:tbl>
    <w:p w14:paraId="7BC2E120">
      <w:pPr>
        <w:keepNext w:val="0"/>
        <w:keepLines w:val="0"/>
        <w:pageBreakBefore w:val="0"/>
        <w:widowControl w:val="0"/>
        <w:kinsoku/>
        <w:wordWrap/>
        <w:overflowPunct/>
        <w:topLinePunct w:val="0"/>
        <w:autoSpaceDE/>
        <w:autoSpaceDN/>
        <w:bidi w:val="0"/>
        <w:adjustRightInd/>
        <w:snapToGrid w:val="0"/>
        <w:spacing w:line="590" w:lineRule="exact"/>
        <w:jc w:val="both"/>
        <w:textAlignment w:val="auto"/>
        <w:rPr>
          <w:rFonts w:ascii="Times New Roman" w:eastAsia="仿宋_GB2312" w:hint="eastAsia"/>
          <w:spacing w:val="0"/>
          <w:kern w:val="0"/>
          <w:sz w:val="32"/>
          <w:szCs w:val="32"/>
          <w:lang w:val="en-US" w:eastAsia="zh-CN"/>
        </w:rPr>
      </w:pPr>
      <w:r>
        <w:rPr>
          <w:rFonts w:ascii="仿宋_GB2312" w:eastAsia="仿宋_GB2312" w:hint="eastAsia"/>
          <w:spacing w:val="14"/>
          <w:sz w:val="32"/>
          <w:szCs w:val="32"/>
          <w:lang w:val="en-US" w:eastAsia="zh-CN"/>
        </w:rPr>
        <w:t>（三）</w:t>
      </w:r>
      <w:r>
        <w:rPr>
          <w:rFonts w:ascii="Times New Roman" w:eastAsia="仿宋_GB2312" w:hint="eastAsia"/>
          <w:spacing w:val="0"/>
          <w:kern w:val="0"/>
          <w:sz w:val="32"/>
          <w:szCs w:val="32"/>
          <w:lang w:val="en-US" w:eastAsia="zh-CN"/>
        </w:rPr>
        <w:t>2025年因公出国出境经费项目，预算金额100</w:t>
      </w:r>
      <w:r>
        <w:rPr>
          <w:rFonts w:eastAsia="仿宋_GB2312" w:hint="eastAsia"/>
          <w:spacing w:val="0"/>
          <w:kern w:val="0"/>
          <w:sz w:val="32"/>
          <w:szCs w:val="32"/>
          <w:lang w:val="en-US" w:eastAsia="zh-CN"/>
        </w:rPr>
        <w:t>,</w:t>
      </w:r>
      <w:r>
        <w:rPr>
          <w:rFonts w:ascii="Times New Roman" w:eastAsia="仿宋_GB2312" w:hint="eastAsia"/>
          <w:spacing w:val="0"/>
          <w:kern w:val="0"/>
          <w:sz w:val="32"/>
          <w:szCs w:val="32"/>
          <w:lang w:val="en-US" w:eastAsia="zh-CN"/>
        </w:rPr>
        <w:t>000.00元，预算绩效目标主要是推进国际学术交流与合作、科研合作与技术引进、人才培养与培训、国际合作项目等。</w:t>
      </w:r>
    </w:p>
    <w:tbl>
      <w:tblPr>
        <w:tblStyle w:val="TableNormal"/>
        <w:tblW w:w="8640"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
      <w:tblGrid>
        <w:gridCol w:w="963"/>
        <w:gridCol w:w="934"/>
        <w:gridCol w:w="1080"/>
        <w:gridCol w:w="1168"/>
        <w:gridCol w:w="1080"/>
        <w:gridCol w:w="1168"/>
        <w:gridCol w:w="1168"/>
        <w:gridCol w:w="1080"/>
      </w:tblGrid>
      <w:tr w14:paraId="5F3477BE">
        <w:tblPrEx>
          <w:tblW w:w="8640" w:type="dxa"/>
          <w:tblInd w:w="9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108" w:type="dxa"/>
            <w:bottom w:w="0" w:type="dxa"/>
            <w:right w:w="108" w:type="dxa"/>
          </w:tblCellMar>
        </w:tblPrEx>
        <w:trPr>
          <w:trHeight w:val="647"/>
        </w:trPr>
        <w:tc>
          <w:tcPr>
            <w:tcW w:w="8640" w:type="dxa"/>
            <w:gridSpan w:val="8"/>
            <w:tcBorders>
              <w:top w:val="nil"/>
              <w:left w:val="nil"/>
              <w:bottom w:val="nil"/>
              <w:right w:val="nil"/>
            </w:tcBorders>
            <w:shd w:val="clear" w:color="auto" w:fill="auto"/>
            <w:noWrap/>
            <w:vAlign w:val="center"/>
          </w:tcPr>
          <w:p w14:paraId="6A45BE0F">
            <w:pPr>
              <w:keepNext w:val="0"/>
              <w:keepLines w:val="0"/>
              <w:widowControl/>
              <w:suppressLineNumbers w:val="0"/>
              <w:jc w:val="center"/>
              <w:textAlignment w:val="center"/>
              <w:rPr>
                <w:rFonts w:ascii="楷体_GB2312" w:eastAsia="楷体_GB2312" w:hAnsi="宋体" w:cs="楷体_GB2312"/>
                <w:i w:val="0"/>
                <w:iCs w:val="0"/>
                <w:color w:val="000000"/>
                <w:sz w:val="32"/>
                <w:szCs w:val="32"/>
                <w:u w:val="none"/>
              </w:rPr>
            </w:pPr>
            <w:r>
              <w:rPr>
                <w:rFonts w:ascii="仿宋_GB2312" w:eastAsia="仿宋_GB2312" w:hAnsi="Times New Roman" w:cs="Times New Roman" w:hint="default"/>
                <w:spacing w:val="14"/>
                <w:kern w:val="2"/>
                <w:sz w:val="32"/>
                <w:szCs w:val="32"/>
                <w:lang w:val="en-US" w:eastAsia="zh-CN" w:bidi="ar"/>
              </w:rPr>
              <w:t>项目支出绩效目标表</w:t>
            </w:r>
          </w:p>
        </w:tc>
      </w:tr>
      <w:tr w14:paraId="737C63A8">
        <w:tblPrEx>
          <w:tblW w:w="8640" w:type="dxa"/>
          <w:tblInd w:w="93" w:type="dxa"/>
          <w:shd w:val="clear" w:color="auto" w:fill="auto"/>
          <w:tblCellMar>
            <w:top w:w="0" w:type="dxa"/>
            <w:left w:w="108" w:type="dxa"/>
            <w:bottom w:w="0" w:type="dxa"/>
            <w:right w:w="108" w:type="dxa"/>
          </w:tblCellMar>
        </w:tblPrEx>
        <w:trPr>
          <w:trHeight w:val="580"/>
        </w:trPr>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B81D8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一级指标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4A5A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二级指标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B36F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三级指标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96A68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指标性质</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D8BE4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指标值</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F3691">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度量单位</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322CE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指标属性</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F9046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指标内容</w:t>
            </w:r>
          </w:p>
        </w:tc>
      </w:tr>
      <w:tr w14:paraId="45213F09">
        <w:tblPrEx>
          <w:tblW w:w="8640" w:type="dxa"/>
          <w:tblInd w:w="93" w:type="dxa"/>
          <w:shd w:val="clear" w:color="auto" w:fill="auto"/>
          <w:tblCellMar>
            <w:top w:w="0" w:type="dxa"/>
            <w:left w:w="108" w:type="dxa"/>
            <w:bottom w:w="0" w:type="dxa"/>
            <w:right w:w="108" w:type="dxa"/>
          </w:tblCellMar>
        </w:tblPrEx>
        <w:trPr>
          <w:trHeight w:val="315"/>
        </w:trPr>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7F7757">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产出指标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70323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质量指标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781F5">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云南省精神病医院因公出国（境）项目执行</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03BB0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0337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根据市外办、省外办审批结果执行</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AF526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达标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1C08F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C1C3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云南省精神病医院因公出国（境）项目执行</w:t>
            </w:r>
          </w:p>
        </w:tc>
      </w:tr>
      <w:tr w14:paraId="4336048A">
        <w:tblPrEx>
          <w:tblW w:w="8640" w:type="dxa"/>
          <w:tblInd w:w="93" w:type="dxa"/>
          <w:shd w:val="clear" w:color="auto" w:fill="auto"/>
          <w:tblCellMar>
            <w:top w:w="0" w:type="dxa"/>
            <w:left w:w="108" w:type="dxa"/>
            <w:bottom w:w="0" w:type="dxa"/>
            <w:right w:w="108" w:type="dxa"/>
          </w:tblCellMar>
        </w:tblPrEx>
        <w:trPr>
          <w:trHeight w:val="450"/>
        </w:trPr>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061A8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效益指标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AEEF5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可持续影响</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2F6C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科研能力提升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FDB00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1D6B2F">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提升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27D85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中长期</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AEDEC">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定性指标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D34A3">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科研能力提升</w:t>
            </w:r>
          </w:p>
        </w:tc>
      </w:tr>
      <w:tr w14:paraId="7AEE39FB">
        <w:tblPrEx>
          <w:tblW w:w="8640" w:type="dxa"/>
          <w:tblInd w:w="93" w:type="dxa"/>
          <w:shd w:val="clear" w:color="auto" w:fill="auto"/>
          <w:tblCellMar>
            <w:top w:w="0" w:type="dxa"/>
            <w:left w:w="108" w:type="dxa"/>
            <w:bottom w:w="0" w:type="dxa"/>
            <w:right w:w="108" w:type="dxa"/>
          </w:tblCellMar>
        </w:tblPrEx>
        <w:trPr>
          <w:trHeight w:val="600"/>
        </w:trPr>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E7AA38">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满意度指标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2F6FDA">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服务对象满意度</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E8702">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外出参培人员满意度</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5186A6">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&gt;=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7024B">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80</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2FEE94">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008B99">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定量指标</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C4BE4E">
            <w:pPr>
              <w:keepNext w:val="0"/>
              <w:keepLines w:val="0"/>
              <w:widowControl/>
              <w:suppressLineNumbers w:val="0"/>
              <w:jc w:val="left"/>
              <w:textAlignment w:val="center"/>
              <w:rPr>
                <w:rFonts w:ascii="仿宋_GB2312" w:eastAsia="仿宋_GB2312" w:hint="eastAsia"/>
                <w:spacing w:val="14"/>
                <w:sz w:val="21"/>
                <w:szCs w:val="21"/>
                <w:lang w:val="en-US" w:eastAsia="zh-CN"/>
              </w:rPr>
            </w:pPr>
            <w:r>
              <w:rPr>
                <w:rFonts w:ascii="仿宋_GB2312" w:eastAsia="仿宋_GB2312" w:hint="eastAsia"/>
                <w:spacing w:val="14"/>
                <w:sz w:val="21"/>
                <w:szCs w:val="21"/>
                <w:lang w:val="en-US" w:eastAsia="zh-CN"/>
              </w:rPr>
              <w:t>外出参培人员满意度</w:t>
            </w:r>
          </w:p>
        </w:tc>
      </w:tr>
    </w:tbl>
    <w:p w14:paraId="0EFF131D">
      <w:pPr>
        <w:keepNext w:val="0"/>
        <w:keepLines w:val="0"/>
        <w:pageBreakBefore w:val="0"/>
        <w:widowControl w:val="0"/>
        <w:kinsoku/>
        <w:wordWrap/>
        <w:overflowPunct/>
        <w:topLinePunct w:val="0"/>
        <w:autoSpaceDE/>
        <w:autoSpaceDN/>
        <w:bidi w:val="0"/>
        <w:adjustRightInd/>
        <w:snapToGrid w:val="0"/>
        <w:spacing w:line="590" w:lineRule="exact"/>
        <w:jc w:val="both"/>
        <w:textAlignment w:val="auto"/>
        <w:rPr>
          <w:rFonts w:ascii="仿宋_GB2312" w:eastAsia="仿宋_GB2312"/>
          <w:spacing w:val="14"/>
          <w:sz w:val="32"/>
          <w:szCs w:val="32"/>
        </w:rPr>
      </w:pPr>
    </w:p>
    <w:p w14:paraId="3B5D281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黑体" w:eastAsia="黑体" w:hAnsi="黑体" w:hint="eastAsia"/>
          <w:kern w:val="0"/>
          <w:sz w:val="32"/>
          <w:szCs w:val="32"/>
        </w:rPr>
      </w:pPr>
      <w:r>
        <w:rPr>
          <w:rFonts w:ascii="黑体" w:eastAsia="黑体" w:hAnsi="黑体" w:hint="eastAsia"/>
          <w:kern w:val="0"/>
          <w:sz w:val="32"/>
          <w:szCs w:val="32"/>
        </w:rPr>
        <w:t>九、其他公开信息</w:t>
      </w:r>
    </w:p>
    <w:p w14:paraId="194E282C">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（一）专业名词解释</w:t>
      </w:r>
    </w:p>
    <w:p w14:paraId="35590312">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1、机关运行经费：是指各部门的公用经费，包括办公及印刷费、邮电费、差旅费、会议费、福利费、日常维修费、专用材料及一般设备购置费、办公用房水电费、办公用房取暖费、办公用房物业管理费、公务用车运行维护费及其他费用。</w:t>
      </w:r>
    </w:p>
    <w:p w14:paraId="109CBCF4">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2、基本支出：指单位为保障其机构正常运转、完成日常工作任务而发生的人员支出和公用支出。</w:t>
      </w:r>
    </w:p>
    <w:p w14:paraId="00380C1A">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3、项目支出：指单位为完成特定行政任务和事业发展目标在基本支出之外所发生的支出。</w:t>
      </w:r>
    </w:p>
    <w:p w14:paraId="554E7E6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4、“三公经费”：纳入省财政预算管理的“三公”经费，是指用一般公共预算拨款安排的公务接待费、公务用车购置及运行维护费和因公出国（境）费。其中，公务接待费反映单位按规定开支的各类接待支出；公务用车购置及运行费反映单位公务用车车辆购置支出（含车辆购置税），以及燃料费、维修费、保险费等支出；因公出国（境）费反映单位公务出国（境）的国际旅游费、国外城市间交通费、食宿费等支出。</w:t>
      </w:r>
    </w:p>
    <w:p w14:paraId="21131633">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5、一般公共预算：一般公共预算是对以税收为主体的财政收入，安排用于保障和改善民生、推动经济社会发展、维护国家安全、维持国家机构正常运转等方面的收支预算。</w:t>
      </w:r>
    </w:p>
    <w:p w14:paraId="70A61936">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6、政府性基金预算：政府性基金预算是国家通过向社会征收以及出让土地、发行彩票等方式取得收入，并专项用于支持特定基础设施建设和社会事业发展的财政收支预算，是政府预算体系的重要组成部分。</w:t>
      </w:r>
    </w:p>
    <w:p w14:paraId="2B5E0B09">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7、政府采购制度：是指各级国家机关、事业单位和团体组织，使用财政性资金采购依法制定的集中采购目录以内的或者采购限额标准以上的货物、工程和服务的行为。</w:t>
      </w:r>
    </w:p>
    <w:p w14:paraId="15541998">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8、财政预算拨款：指财政部门用一般预算收入安排的预算单位资金。</w:t>
      </w:r>
    </w:p>
    <w:p w14:paraId="16B71047">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kern w:val="0"/>
          <w:sz w:val="32"/>
          <w:szCs w:val="32"/>
        </w:rPr>
        <w:t>（二）机关运行经费安排</w:t>
      </w:r>
      <w:r>
        <w:rPr>
          <w:rFonts w:ascii="楷体_GB2312" w:eastAsia="楷体_GB2312" w:hint="eastAsia"/>
          <w:kern w:val="0"/>
          <w:sz w:val="32"/>
          <w:szCs w:val="32"/>
        </w:rPr>
        <w:t>变化情况及原因说明</w:t>
      </w:r>
    </w:p>
    <w:p w14:paraId="76050E70">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eastAsia="仿宋_GB2312" w:hint="eastAsia"/>
          <w:kern w:val="0"/>
          <w:sz w:val="32"/>
          <w:szCs w:val="32"/>
          <w:lang w:val="en-US" w:eastAsia="zh-CN"/>
        </w:rPr>
      </w:pPr>
      <w:r>
        <w:rPr>
          <w:rFonts w:eastAsia="仿宋_GB2312" w:hint="eastAsia"/>
          <w:kern w:val="0"/>
          <w:sz w:val="32"/>
          <w:szCs w:val="32"/>
          <w:lang w:val="en-US" w:eastAsia="zh-CN"/>
        </w:rPr>
        <w:t>云南省精神病医院2025</w:t>
      </w:r>
      <w:r>
        <w:rPr>
          <w:rFonts w:eastAsia="仿宋_GB2312" w:hint="eastAsia"/>
          <w:kern w:val="0"/>
          <w:sz w:val="32"/>
          <w:szCs w:val="32"/>
        </w:rPr>
        <w:t>年机关运行经费安排</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，与上年</w:t>
      </w:r>
      <w:r>
        <w:rPr>
          <w:rFonts w:eastAsia="仿宋_GB2312" w:hint="eastAsia"/>
          <w:kern w:val="0"/>
          <w:sz w:val="32"/>
          <w:szCs w:val="32"/>
          <w:lang w:val="en-US" w:eastAsia="zh-CN"/>
        </w:rPr>
        <w:t>对比无变化，</w:t>
      </w:r>
      <w:r>
        <w:rPr>
          <w:rFonts w:eastAsia="仿宋_GB2312" w:hint="eastAsia"/>
          <w:kern w:val="0"/>
          <w:sz w:val="32"/>
          <w:szCs w:val="32"/>
        </w:rPr>
        <w:t>主</w:t>
      </w:r>
      <w:r>
        <w:rPr>
          <w:rFonts w:eastAsia="仿宋_GB2312" w:hint="eastAsia"/>
          <w:kern w:val="0"/>
          <w:sz w:val="32"/>
          <w:szCs w:val="32"/>
          <w:lang w:val="en-US" w:eastAsia="zh-CN"/>
        </w:rPr>
        <w:t>要原因分析云南省精神病医院为非参公管理事业单位，故无机关运行经费。</w:t>
      </w:r>
    </w:p>
    <w:p w14:paraId="024892A5">
      <w:pPr>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（三）国有资产占</w:t>
      </w:r>
      <w:r>
        <w:rPr>
          <w:rFonts w:ascii="楷体_GB2312" w:eastAsia="楷体_GB2312" w:hint="eastAsia"/>
          <w:kern w:val="0"/>
          <w:sz w:val="32"/>
          <w:szCs w:val="32"/>
          <w:lang w:eastAsia="zh-CN"/>
        </w:rPr>
        <w:t>有使用</w:t>
      </w:r>
      <w:r>
        <w:rPr>
          <w:rFonts w:ascii="楷体_GB2312" w:eastAsia="楷体_GB2312" w:hint="eastAsia"/>
          <w:kern w:val="0"/>
          <w:sz w:val="32"/>
          <w:szCs w:val="32"/>
        </w:rPr>
        <w:t>情况</w:t>
      </w:r>
    </w:p>
    <w:p w14:paraId="6AAC54C2">
      <w:pPr>
        <w:keepNext w:val="0"/>
        <w:keepLines w:val="0"/>
        <w:pageBreakBefore w:val="0"/>
        <w:widowControl w:val="0"/>
        <w:kinsoku/>
        <w:wordWrap/>
        <w:overflowPunct/>
        <w:topLinePunct w:val="0"/>
        <w:autoSpaceDE/>
        <w:autoSpaceDN/>
        <w:bidi w:val="0"/>
        <w:adjustRightInd/>
        <w:spacing w:line="590" w:lineRule="exact"/>
        <w:ind w:firstLine="600"/>
        <w:jc w:val="both"/>
        <w:textAlignment w:val="auto"/>
        <w:rPr>
          <w:rFonts w:eastAsia="仿宋_GB2312" w:hint="eastAsia"/>
          <w:kern w:val="0"/>
          <w:sz w:val="32"/>
          <w:szCs w:val="32"/>
        </w:rPr>
      </w:pPr>
      <w:r>
        <w:rPr>
          <w:rFonts w:eastAsia="仿宋_GB2312" w:hint="eastAsia"/>
          <w:kern w:val="0"/>
          <w:sz w:val="32"/>
          <w:szCs w:val="32"/>
        </w:rPr>
        <w:t>截至202</w:t>
      </w:r>
      <w:r>
        <w:rPr>
          <w:rFonts w:eastAsia="仿宋_GB2312" w:hint="eastAsia"/>
          <w:kern w:val="0"/>
          <w:sz w:val="32"/>
          <w:szCs w:val="32"/>
          <w:lang w:val="en-US" w:eastAsia="zh-CN"/>
        </w:rPr>
        <w:t>4</w:t>
      </w:r>
      <w:r>
        <w:rPr>
          <w:rFonts w:eastAsia="仿宋_GB2312" w:hint="eastAsia"/>
          <w:kern w:val="0"/>
          <w:sz w:val="32"/>
          <w:szCs w:val="32"/>
        </w:rPr>
        <w:t>年12月31日，</w:t>
      </w:r>
      <w:r>
        <w:rPr>
          <w:rFonts w:eastAsia="仿宋_GB2312" w:hint="eastAsia"/>
          <w:kern w:val="0"/>
          <w:sz w:val="32"/>
          <w:szCs w:val="32"/>
          <w:lang w:val="en-US" w:eastAsia="zh-CN"/>
        </w:rPr>
        <w:t>云南省精神病医院部门</w:t>
      </w:r>
      <w:r>
        <w:rPr>
          <w:rFonts w:eastAsia="仿宋_GB2312" w:hint="eastAsia"/>
          <w:kern w:val="0"/>
          <w:sz w:val="32"/>
          <w:szCs w:val="32"/>
        </w:rPr>
        <w:t>资产总额</w:t>
      </w:r>
      <w:r>
        <w:rPr>
          <w:rFonts w:eastAsia="仿宋_GB2312" w:hint="eastAsia"/>
          <w:kern w:val="0"/>
          <w:sz w:val="32"/>
          <w:szCs w:val="32"/>
          <w:lang w:val="en-US" w:eastAsia="zh-CN"/>
        </w:rPr>
        <w:t>451,277,271.85</w:t>
      </w:r>
      <w:r>
        <w:rPr>
          <w:rFonts w:eastAsia="仿宋_GB2312" w:hint="eastAsia"/>
          <w:kern w:val="0"/>
          <w:sz w:val="32"/>
          <w:szCs w:val="32"/>
          <w:lang w:eastAsia="zh-CN"/>
        </w:rPr>
        <w:t>元</w:t>
      </w:r>
      <w:r>
        <w:rPr>
          <w:rFonts w:eastAsia="仿宋_GB2312" w:hint="eastAsia"/>
          <w:kern w:val="0"/>
          <w:sz w:val="32"/>
          <w:szCs w:val="32"/>
        </w:rPr>
        <w:t>，其中，流动资产</w:t>
      </w:r>
      <w:r>
        <w:rPr>
          <w:rFonts w:eastAsia="仿宋_GB2312" w:hint="eastAsia"/>
          <w:kern w:val="0"/>
          <w:sz w:val="32"/>
          <w:szCs w:val="32"/>
          <w:lang w:val="en-US" w:eastAsia="zh-CN"/>
        </w:rPr>
        <w:t>275,803,239.82</w:t>
      </w:r>
      <w:r>
        <w:rPr>
          <w:rFonts w:eastAsia="仿宋_GB2312" w:hint="eastAsia"/>
          <w:kern w:val="0"/>
          <w:sz w:val="32"/>
          <w:szCs w:val="32"/>
          <w:lang w:eastAsia="zh-CN"/>
        </w:rPr>
        <w:t>元</w:t>
      </w:r>
      <w:r>
        <w:rPr>
          <w:rFonts w:eastAsia="仿宋_GB2312" w:hint="eastAsia"/>
          <w:kern w:val="0"/>
          <w:sz w:val="32"/>
          <w:szCs w:val="32"/>
        </w:rPr>
        <w:t>，固定资产</w:t>
      </w:r>
      <w:r>
        <w:rPr>
          <w:rFonts w:eastAsia="仿宋_GB2312" w:hint="eastAsia"/>
          <w:kern w:val="0"/>
          <w:sz w:val="32"/>
          <w:szCs w:val="32"/>
          <w:lang w:val="en-US" w:eastAsia="zh-CN"/>
        </w:rPr>
        <w:t>161,595,701.47</w:t>
      </w:r>
      <w:r>
        <w:rPr>
          <w:rFonts w:eastAsia="仿宋_GB2312" w:hint="eastAsia"/>
          <w:kern w:val="0"/>
          <w:sz w:val="32"/>
          <w:szCs w:val="32"/>
          <w:lang w:eastAsia="zh-CN"/>
        </w:rPr>
        <w:t>元</w:t>
      </w:r>
      <w:r>
        <w:rPr>
          <w:rFonts w:eastAsia="仿宋_GB2312" w:hint="eastAsia"/>
          <w:kern w:val="0"/>
          <w:sz w:val="32"/>
          <w:szCs w:val="32"/>
        </w:rPr>
        <w:t>，对外投资及有价证券</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，在建工程</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，无形资产</w:t>
      </w:r>
      <w:r>
        <w:rPr>
          <w:rFonts w:eastAsia="仿宋_GB2312" w:hint="eastAsia"/>
          <w:kern w:val="0"/>
          <w:sz w:val="32"/>
          <w:szCs w:val="32"/>
          <w:lang w:val="en-US" w:eastAsia="zh-CN"/>
        </w:rPr>
        <w:t>13,878,330.56</w:t>
      </w:r>
      <w:r>
        <w:rPr>
          <w:rFonts w:eastAsia="仿宋_GB2312" w:hint="eastAsia"/>
          <w:kern w:val="0"/>
          <w:sz w:val="32"/>
          <w:szCs w:val="32"/>
          <w:lang w:eastAsia="zh-CN"/>
        </w:rPr>
        <w:t>元</w:t>
      </w:r>
      <w:r>
        <w:rPr>
          <w:rFonts w:eastAsia="仿宋_GB2312" w:hint="eastAsia"/>
          <w:kern w:val="0"/>
          <w:sz w:val="32"/>
          <w:szCs w:val="32"/>
        </w:rPr>
        <w:t>，其他资产</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。与上年相比，本年资产总额增加23</w:t>
      </w:r>
      <w:r>
        <w:rPr>
          <w:rFonts w:eastAsia="仿宋_GB2312" w:hint="eastAsia"/>
          <w:kern w:val="0"/>
          <w:sz w:val="32"/>
          <w:szCs w:val="32"/>
          <w:lang w:val="en-US" w:eastAsia="zh-CN"/>
        </w:rPr>
        <w:t>,</w:t>
      </w:r>
      <w:r>
        <w:rPr>
          <w:rFonts w:eastAsia="仿宋_GB2312" w:hint="eastAsia"/>
          <w:kern w:val="0"/>
          <w:sz w:val="32"/>
          <w:szCs w:val="32"/>
        </w:rPr>
        <w:t>602</w:t>
      </w:r>
      <w:r>
        <w:rPr>
          <w:rFonts w:eastAsia="仿宋_GB2312" w:hint="eastAsia"/>
          <w:kern w:val="0"/>
          <w:sz w:val="32"/>
          <w:szCs w:val="32"/>
          <w:lang w:val="en-US" w:eastAsia="zh-CN"/>
        </w:rPr>
        <w:t>,</w:t>
      </w:r>
      <w:r>
        <w:rPr>
          <w:rFonts w:eastAsia="仿宋_GB2312" w:hint="eastAsia"/>
          <w:kern w:val="0"/>
          <w:sz w:val="32"/>
          <w:szCs w:val="32"/>
        </w:rPr>
        <w:t>176.52</w:t>
      </w:r>
      <w:r>
        <w:rPr>
          <w:rFonts w:eastAsia="仿宋_GB2312" w:hint="eastAsia"/>
          <w:kern w:val="0"/>
          <w:sz w:val="32"/>
          <w:szCs w:val="32"/>
          <w:lang w:eastAsia="zh-CN"/>
        </w:rPr>
        <w:t>元</w:t>
      </w:r>
      <w:r>
        <w:rPr>
          <w:rFonts w:eastAsia="仿宋_GB2312" w:hint="eastAsia"/>
          <w:kern w:val="0"/>
          <w:sz w:val="32"/>
          <w:szCs w:val="32"/>
        </w:rPr>
        <w:t>，其中固定资产</w:t>
      </w:r>
      <w:r>
        <w:rPr>
          <w:rFonts w:eastAsia="仿宋_GB2312" w:hint="eastAsia"/>
          <w:kern w:val="0"/>
          <w:sz w:val="32"/>
          <w:szCs w:val="32"/>
          <w:lang w:val="en-US" w:eastAsia="zh-CN"/>
        </w:rPr>
        <w:t>减少1,201,004.92</w:t>
      </w:r>
      <w:r>
        <w:rPr>
          <w:rFonts w:eastAsia="仿宋_GB2312" w:hint="eastAsia"/>
          <w:kern w:val="0"/>
          <w:sz w:val="32"/>
          <w:szCs w:val="32"/>
          <w:lang w:eastAsia="zh-CN"/>
        </w:rPr>
        <w:t>元</w:t>
      </w:r>
      <w:r>
        <w:rPr>
          <w:rFonts w:eastAsia="仿宋_GB2312" w:hint="eastAsia"/>
          <w:kern w:val="0"/>
          <w:sz w:val="32"/>
          <w:szCs w:val="32"/>
        </w:rPr>
        <w:t>。处置房屋建筑物</w:t>
      </w:r>
      <w:r>
        <w:rPr>
          <w:rFonts w:eastAsia="仿宋_GB2312" w:hint="eastAsia"/>
          <w:kern w:val="0"/>
          <w:sz w:val="32"/>
          <w:szCs w:val="32"/>
          <w:lang w:val="en-US" w:eastAsia="zh-CN"/>
        </w:rPr>
        <w:t>0</w:t>
      </w:r>
      <w:r>
        <w:rPr>
          <w:rFonts w:eastAsia="仿宋_GB2312" w:hint="eastAsia"/>
          <w:kern w:val="0"/>
          <w:sz w:val="32"/>
          <w:szCs w:val="32"/>
        </w:rPr>
        <w:t>平方米，账面原值</w:t>
      </w:r>
      <w:r>
        <w:rPr>
          <w:rFonts w:eastAsia="仿宋_GB2312" w:hint="eastAsia"/>
          <w:kern w:val="0"/>
          <w:sz w:val="32"/>
          <w:szCs w:val="32"/>
          <w:lang w:val="en-US" w:eastAsia="zh-CN"/>
        </w:rPr>
        <w:t>0.00</w:t>
      </w:r>
      <w:r>
        <w:rPr>
          <w:rFonts w:eastAsia="仿宋_GB2312" w:hint="eastAsia"/>
          <w:kern w:val="0"/>
          <w:sz w:val="32"/>
          <w:szCs w:val="32"/>
          <w:lang w:eastAsia="zh-CN"/>
        </w:rPr>
        <w:t>元</w:t>
      </w:r>
      <w:r>
        <w:rPr>
          <w:rFonts w:eastAsia="仿宋_GB2312" w:hint="eastAsia"/>
          <w:kern w:val="0"/>
          <w:sz w:val="32"/>
          <w:szCs w:val="32"/>
        </w:rPr>
        <w:t>；处置车辆</w:t>
      </w:r>
      <w:r>
        <w:rPr>
          <w:rFonts w:eastAsia="仿宋_GB2312" w:hint="eastAsia"/>
          <w:kern w:val="0"/>
          <w:sz w:val="32"/>
          <w:szCs w:val="32"/>
          <w:lang w:val="en-US" w:eastAsia="zh-CN"/>
        </w:rPr>
        <w:t>1</w:t>
      </w:r>
      <w:r>
        <w:rPr>
          <w:rFonts w:eastAsia="仿宋_GB2312" w:hint="eastAsia"/>
          <w:kern w:val="0"/>
          <w:sz w:val="32"/>
          <w:szCs w:val="32"/>
        </w:rPr>
        <w:t>辆，账面原值</w:t>
      </w:r>
      <w:r>
        <w:rPr>
          <w:rFonts w:eastAsia="仿宋_GB2312" w:hint="eastAsia"/>
          <w:kern w:val="0"/>
          <w:sz w:val="32"/>
          <w:szCs w:val="32"/>
          <w:lang w:val="en-US" w:eastAsia="zh-CN"/>
        </w:rPr>
        <w:t>433,351.24</w:t>
      </w:r>
      <w:r>
        <w:rPr>
          <w:rFonts w:eastAsia="仿宋_GB2312" w:hint="eastAsia"/>
          <w:kern w:val="0"/>
          <w:sz w:val="32"/>
          <w:szCs w:val="32"/>
          <w:lang w:eastAsia="zh-CN"/>
        </w:rPr>
        <w:t>元</w:t>
      </w:r>
      <w:r>
        <w:rPr>
          <w:rFonts w:eastAsia="仿宋_GB2312" w:hint="eastAsia"/>
          <w:kern w:val="0"/>
          <w:sz w:val="32"/>
          <w:szCs w:val="32"/>
        </w:rPr>
        <w:t>；报废报损资产</w:t>
      </w:r>
      <w:r>
        <w:rPr>
          <w:rFonts w:eastAsia="仿宋_GB2312" w:hint="eastAsia"/>
          <w:kern w:val="0"/>
          <w:sz w:val="32"/>
          <w:szCs w:val="32"/>
          <w:lang w:val="en-US" w:eastAsia="zh-CN"/>
        </w:rPr>
        <w:t>53</w:t>
      </w:r>
      <w:r>
        <w:rPr>
          <w:rFonts w:eastAsia="仿宋_GB2312" w:hint="eastAsia"/>
          <w:kern w:val="0"/>
          <w:sz w:val="32"/>
          <w:szCs w:val="32"/>
        </w:rPr>
        <w:t>项，账面原值</w:t>
      </w:r>
      <w:r>
        <w:rPr>
          <w:rFonts w:eastAsia="仿宋_GB2312" w:hint="eastAsia"/>
          <w:kern w:val="0"/>
          <w:sz w:val="32"/>
          <w:szCs w:val="32"/>
          <w:lang w:val="en-US" w:eastAsia="zh-CN"/>
        </w:rPr>
        <w:t>2,435,095.00</w:t>
      </w:r>
      <w:r>
        <w:rPr>
          <w:rFonts w:eastAsia="仿宋_GB2312" w:hint="eastAsia"/>
          <w:kern w:val="0"/>
          <w:sz w:val="32"/>
          <w:szCs w:val="32"/>
          <w:lang w:eastAsia="zh-CN"/>
        </w:rPr>
        <w:t>元</w:t>
      </w:r>
      <w:r>
        <w:rPr>
          <w:rFonts w:eastAsia="仿宋_GB2312" w:hint="eastAsia"/>
          <w:kern w:val="0"/>
          <w:sz w:val="32"/>
          <w:szCs w:val="32"/>
        </w:rPr>
        <w:t>，实现资产处置收入</w:t>
      </w:r>
      <w:r>
        <w:rPr>
          <w:rFonts w:eastAsia="仿宋_GB2312" w:hint="eastAsia"/>
          <w:kern w:val="0"/>
          <w:sz w:val="32"/>
          <w:szCs w:val="32"/>
          <w:lang w:val="en-US" w:eastAsia="zh-CN"/>
        </w:rPr>
        <w:t>3,440.00</w:t>
      </w:r>
      <w:r>
        <w:rPr>
          <w:rFonts w:eastAsia="仿宋_GB2312" w:hint="eastAsia"/>
          <w:kern w:val="0"/>
          <w:sz w:val="32"/>
          <w:szCs w:val="32"/>
          <w:lang w:eastAsia="zh-CN"/>
        </w:rPr>
        <w:t>元</w:t>
      </w:r>
      <w:r>
        <w:rPr>
          <w:rFonts w:eastAsia="仿宋_GB2312" w:hint="eastAsia"/>
          <w:kern w:val="0"/>
          <w:sz w:val="32"/>
          <w:szCs w:val="32"/>
        </w:rPr>
        <w:t>；资产使用收入</w:t>
      </w:r>
      <w:r>
        <w:rPr>
          <w:rFonts w:eastAsia="仿宋_GB2312" w:hint="eastAsia"/>
          <w:kern w:val="0"/>
          <w:sz w:val="32"/>
          <w:szCs w:val="32"/>
          <w:lang w:val="en-US" w:eastAsia="zh-CN"/>
        </w:rPr>
        <w:t>222,000.00</w:t>
      </w:r>
      <w:r>
        <w:rPr>
          <w:rFonts w:eastAsia="仿宋_GB2312" w:hint="eastAsia"/>
          <w:kern w:val="0"/>
          <w:sz w:val="32"/>
          <w:szCs w:val="32"/>
          <w:lang w:eastAsia="zh-CN"/>
        </w:rPr>
        <w:t>元</w:t>
      </w:r>
      <w:r>
        <w:rPr>
          <w:rFonts w:eastAsia="仿宋_GB2312" w:hint="eastAsia"/>
          <w:kern w:val="0"/>
          <w:sz w:val="32"/>
          <w:szCs w:val="32"/>
        </w:rPr>
        <w:t>，其中出租资产</w:t>
      </w:r>
      <w:r>
        <w:rPr>
          <w:rFonts w:eastAsia="仿宋_GB2312" w:hint="eastAsia"/>
          <w:kern w:val="0"/>
          <w:sz w:val="32"/>
          <w:szCs w:val="32"/>
          <w:lang w:val="en-US" w:eastAsia="zh-CN"/>
        </w:rPr>
        <w:t>55</w:t>
      </w:r>
      <w:r>
        <w:rPr>
          <w:rFonts w:eastAsia="仿宋_GB2312" w:hint="eastAsia"/>
          <w:kern w:val="0"/>
          <w:sz w:val="32"/>
          <w:szCs w:val="32"/>
        </w:rPr>
        <w:t>平方米，资产出租收入</w:t>
      </w:r>
      <w:r>
        <w:rPr>
          <w:rFonts w:eastAsia="仿宋_GB2312" w:hint="eastAsia"/>
          <w:kern w:val="0"/>
          <w:sz w:val="32"/>
          <w:szCs w:val="32"/>
          <w:lang w:val="en-US" w:eastAsia="zh-CN"/>
        </w:rPr>
        <w:t>222,000.00</w:t>
      </w:r>
      <w:r>
        <w:rPr>
          <w:rFonts w:eastAsia="仿宋_GB2312" w:hint="eastAsia"/>
          <w:kern w:val="0"/>
          <w:sz w:val="32"/>
          <w:szCs w:val="32"/>
          <w:lang w:eastAsia="zh-CN"/>
        </w:rPr>
        <w:t>元</w:t>
      </w:r>
      <w:r>
        <w:rPr>
          <w:rFonts w:eastAsia="仿宋_GB2312" w:hint="eastAsia"/>
          <w:kern w:val="0"/>
          <w:sz w:val="32"/>
          <w:szCs w:val="32"/>
        </w:rPr>
        <w:t>。鉴于截至202</w:t>
      </w:r>
      <w:r>
        <w:rPr>
          <w:rFonts w:eastAsia="仿宋_GB2312" w:hint="eastAsia"/>
          <w:kern w:val="0"/>
          <w:sz w:val="32"/>
          <w:szCs w:val="32"/>
          <w:lang w:val="en-US" w:eastAsia="zh-CN"/>
        </w:rPr>
        <w:t>4</w:t>
      </w:r>
      <w:r>
        <w:rPr>
          <w:rFonts w:eastAsia="仿宋_GB2312" w:hint="eastAsia"/>
          <w:kern w:val="0"/>
          <w:sz w:val="32"/>
          <w:szCs w:val="32"/>
        </w:rPr>
        <w:t>年12月31日的国有资产占有使用精准数据，需在完成202</w:t>
      </w:r>
      <w:r>
        <w:rPr>
          <w:rFonts w:eastAsia="仿宋_GB2312" w:hint="eastAsia"/>
          <w:kern w:val="0"/>
          <w:sz w:val="32"/>
          <w:szCs w:val="32"/>
          <w:lang w:val="en-US" w:eastAsia="zh-CN"/>
        </w:rPr>
        <w:t>4</w:t>
      </w:r>
      <w:r>
        <w:rPr>
          <w:rFonts w:eastAsia="仿宋_GB2312" w:hint="eastAsia"/>
          <w:kern w:val="0"/>
          <w:sz w:val="32"/>
          <w:szCs w:val="32"/>
        </w:rPr>
        <w:t>年决算编制后才能汇总，此处公开为202</w:t>
      </w:r>
      <w:r>
        <w:rPr>
          <w:rFonts w:eastAsia="仿宋_GB2312" w:hint="eastAsia"/>
          <w:kern w:val="0"/>
          <w:sz w:val="32"/>
          <w:szCs w:val="32"/>
          <w:lang w:val="en-US" w:eastAsia="zh-CN"/>
        </w:rPr>
        <w:t>5</w:t>
      </w:r>
      <w:r>
        <w:rPr>
          <w:rFonts w:eastAsia="仿宋_GB2312" w:hint="eastAsia"/>
          <w:kern w:val="0"/>
          <w:sz w:val="32"/>
          <w:szCs w:val="32"/>
        </w:rPr>
        <w:t>年</w:t>
      </w:r>
      <w:r>
        <w:rPr>
          <w:rFonts w:eastAsia="仿宋_GB2312" w:hint="eastAsia"/>
          <w:kern w:val="0"/>
          <w:sz w:val="32"/>
          <w:szCs w:val="32"/>
          <w:lang w:val="en-US" w:eastAsia="zh-CN"/>
        </w:rPr>
        <w:t>1</w:t>
      </w:r>
      <w:r>
        <w:rPr>
          <w:rFonts w:eastAsia="仿宋_GB2312" w:hint="eastAsia"/>
          <w:kern w:val="0"/>
          <w:sz w:val="32"/>
          <w:szCs w:val="32"/>
        </w:rPr>
        <w:t>月资产月报数。</w:t>
      </w:r>
    </w:p>
    <w:p w14:paraId="41BB560D">
      <w:pPr>
        <w:rPr>
          <w:rFonts w:ascii="Arial" w:eastAsia="Arial" w:hAnsi="Arial" w:cs="Arial"/>
          <w:b/>
          <w:sz w:val="36"/>
        </w:rPr>
      </w:pPr>
    </w:p>
    <w:p w14:paraId="095D3F77">
      <w:pPr>
        <w:rPr>
          <w:rFonts w:ascii="Arial" w:eastAsia="Arial" w:hAnsi="Arial" w:cs="Arial"/>
          <w:b/>
          <w:sz w:val="36"/>
        </w:rPr>
      </w:pPr>
    </w:p>
    <w:p w14:paraId="2A2CEAC9">
      <w:pPr>
        <w:rPr>
          <w:rFonts w:ascii="Arial" w:eastAsia="Arial" w:hAnsi="Arial" w:cs="Arial"/>
          <w:b/>
          <w:sz w:val="36"/>
        </w:rPr>
      </w:pPr>
    </w:p>
    <w:p>
      <w:pPr>
        <w:rPr>
          <w:rFonts w:ascii="Arial" w:eastAsia="Arial" w:hAnsi="Arial" w:cs="Arial"/>
          <w:b/>
          <w:sz w:val="36"/>
        </w:rPr>
      </w:pPr>
      <w:r>
        <w:rPr>
          <w:rFonts w:ascii="Arial" w:eastAsia="Arial" w:hAnsi="Arial" w:cs="Arial"/>
          <w:b/>
          <w:sz w:val="36"/>
        </w:rPr>
        <w:t>监督索引号53010000636301900111</w:t>
      </w:r>
    </w:p>
    <w:sectPr>
      <w:headerReference w:type="even" r:id="rId5"/>
      <w:headerReference w:type="default" r:id="rId6"/>
      <w:footerReference w:type="default" r:id="rId7"/>
      <w:pgSz w:w="11906" w:h="16838"/>
      <w:pgMar w:top="2098" w:right="1474" w:bottom="1984" w:left="1587" w:header="851" w:footer="992" w:gutter="0"/>
      <w:pgNumType w:fmt="decimal"/>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18A92DD8">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ascii="宋体" w:eastAsia="宋体" w:hAnsi="宋体" w:hint="eastAsia"/>
                              <w:sz w:val="28"/>
                              <w:lang w:eastAsia="zh-CN"/>
                            </w:rPr>
                          </w:pPr>
                          <w:r>
                            <w:rPr>
                              <w:rFonts w:ascii="宋体" w:hAnsi="宋体" w:hint="eastAsia"/>
                              <w:sz w:val="28"/>
                              <w:lang w:eastAsia="zh-CN"/>
                            </w:rPr>
                            <w:t>—</w:t>
                          </w:r>
                          <w:r>
                            <w:rPr>
                              <w:rFonts w:ascii="宋体" w:hAnsi="宋体" w:hint="eastAsia"/>
                              <w:sz w:val="28"/>
                              <w:lang w:val="en-US" w:eastAsia="zh-CN"/>
                            </w:rPr>
                            <w:t xml:space="preserve"> </w:t>
                          </w:r>
                          <w:r>
                            <w:rPr>
                              <w:rFonts w:ascii="宋体" w:hAnsi="宋体" w:hint="eastAsia"/>
                              <w:sz w:val="28"/>
                              <w:lang w:eastAsia="zh-CN"/>
                            </w:rPr>
                            <w:fldChar w:fldCharType="begin"/>
                          </w:r>
                          <w:r>
                            <w:rPr>
                              <w:rFonts w:ascii="宋体" w:hAnsi="宋体" w:hint="eastAsia"/>
                              <w:sz w:val="28"/>
                              <w:lang w:eastAsia="zh-CN"/>
                            </w:rPr>
                            <w:instrText xml:space="preserve"> PAGE  \* MERGEFORMAT </w:instrText>
                          </w:r>
                          <w:r>
                            <w:rPr>
                              <w:rFonts w:ascii="宋体" w:hAnsi="宋体" w:hint="eastAsia"/>
                              <w:sz w:val="28"/>
                              <w:lang w:eastAsia="zh-CN"/>
                            </w:rPr>
                            <w:fldChar w:fldCharType="separate"/>
                          </w:r>
                          <w:r>
                            <w:rPr>
                              <w:rFonts w:ascii="宋体" w:hAnsi="宋体" w:hint="eastAsia"/>
                              <w:sz w:val="28"/>
                              <w:lang w:eastAsia="zh-CN"/>
                            </w:rPr>
                            <w:t>1</w:t>
                          </w:r>
                          <w:r>
                            <w:rPr>
                              <w:rFonts w:ascii="宋体" w:hAnsi="宋体" w:hint="eastAsia"/>
                              <w:sz w:val="28"/>
                              <w:lang w:eastAsia="zh-CN"/>
                            </w:rPr>
                            <w:fldChar w:fldCharType="end"/>
                          </w:r>
                          <w:r>
                            <w:rPr>
                              <w:rFonts w:ascii="宋体" w:hAnsi="宋体" w:hint="eastAsia"/>
                              <w:sz w:val="28"/>
                              <w:lang w:val="en-US" w:eastAsia="zh-CN"/>
                            </w:rPr>
                            <w:t xml:space="preserve"> </w:t>
                          </w:r>
                          <w:r>
                            <w:rPr>
                              <w:rFonts w:ascii="宋体" w:hAnsi="宋体" w:hint="eastAsia"/>
                              <w:sz w:val="28"/>
                              <w:lang w:eastAsia="zh-CN"/>
                            </w:rPr>
                            <w:t>—</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outside;mso-position-horizontal-relative:margin;mso-width-relative:page;mso-wrap-style:none;position:absolute;z-index:251659264" coordsize="21600,21600" filled="f" stroked="f">
              <o:lock v:ext="edit" aspectratio="f"/>
              <v:textbox style="mso-fit-shape-to-text:t" inset="0,0,0,0">
                <w:txbxContent>
                  <w:p w14:paraId="5673A37B">
                    <w:pPr>
                      <w:pStyle w:val="Footer"/>
                      <w:rPr>
                        <w:rFonts w:ascii="宋体" w:eastAsia="宋体" w:hAnsi="宋体" w:hint="eastAsia"/>
                        <w:sz w:val="28"/>
                        <w:lang w:eastAsia="zh-CN"/>
                      </w:rPr>
                    </w:pPr>
                    <w:r>
                      <w:rPr>
                        <w:rFonts w:ascii="宋体" w:hAnsi="宋体" w:hint="eastAsia"/>
                        <w:sz w:val="28"/>
                        <w:lang w:eastAsia="zh-CN"/>
                      </w:rPr>
                      <w:t>—</w:t>
                    </w:r>
                    <w:r>
                      <w:rPr>
                        <w:rFonts w:ascii="宋体" w:hAnsi="宋体" w:hint="eastAsia"/>
                        <w:sz w:val="28"/>
                        <w:lang w:val="en-US" w:eastAsia="zh-CN"/>
                      </w:rPr>
                      <w:t xml:space="preserve"> </w:t>
                    </w:r>
                    <w:r>
                      <w:rPr>
                        <w:rFonts w:ascii="宋体" w:hAnsi="宋体" w:hint="eastAsia"/>
                        <w:sz w:val="28"/>
                        <w:lang w:eastAsia="zh-CN"/>
                      </w:rPr>
                      <w:fldChar w:fldCharType="begin"/>
                    </w:r>
                    <w:r>
                      <w:rPr>
                        <w:rFonts w:ascii="宋体" w:hAnsi="宋体" w:hint="eastAsia"/>
                        <w:sz w:val="28"/>
                        <w:lang w:eastAsia="zh-CN"/>
                      </w:rPr>
                      <w:instrText xml:space="preserve"> PAGE  \* MERGEFORMAT </w:instrText>
                    </w:r>
                    <w:r>
                      <w:rPr>
                        <w:rFonts w:ascii="宋体" w:hAnsi="宋体" w:hint="eastAsia"/>
                        <w:sz w:val="28"/>
                        <w:lang w:eastAsia="zh-CN"/>
                      </w:rPr>
                      <w:fldChar w:fldCharType="separate"/>
                    </w:r>
                    <w:r>
                      <w:rPr>
                        <w:rFonts w:ascii="宋体" w:hAnsi="宋体" w:hint="eastAsia"/>
                        <w:sz w:val="28"/>
                        <w:lang w:eastAsia="zh-CN"/>
                      </w:rPr>
                      <w:t>1</w:t>
                    </w:r>
                    <w:r>
                      <w:rPr>
                        <w:rFonts w:ascii="宋体" w:hAnsi="宋体" w:hint="eastAsia"/>
                        <w:sz w:val="28"/>
                        <w:lang w:eastAsia="zh-CN"/>
                      </w:rPr>
                      <w:fldChar w:fldCharType="end"/>
                    </w:r>
                    <w:r>
                      <w:rPr>
                        <w:rFonts w:ascii="宋体" w:hAnsi="宋体" w:hint="eastAsia"/>
                        <w:sz w:val="28"/>
                        <w:lang w:val="en-US" w:eastAsia="zh-CN"/>
                      </w:rPr>
                      <w:t xml:space="preserve"> </w:t>
                    </w:r>
                    <w:r>
                      <w:rPr>
                        <w:rFonts w:ascii="宋体" w:hAnsi="宋体" w:hint="eastAsia"/>
                        <w:sz w:val="28"/>
                        <w:lang w:eastAsia="zh-CN"/>
                      </w:rPr>
                      <w:t>—</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5319A14B">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72B3116A">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C47DBBF"/>
    <w:multiLevelType w:val="singleLevel"/>
    <w:tmpl w:val="5C47DBBF"/>
    <w:lvl w:ilvl="0">
      <w:start w:val="4"/>
      <w:numFmt w:val="chineseCounting"/>
      <w:suff w:val="nothing"/>
      <w:lvlText w:val="%1、"/>
      <w:lvlJc w:val="left"/>
    </w:lvl>
  </w:abstractNum>
  <w:abstractNum w:abstractNumId="1">
    <w:nsid w:val="5C47DC0A"/>
    <w:multiLevelType w:val="singleLevel"/>
    <w:tmpl w:val="5C47DC0A"/>
    <w:lvl w:ilvl="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AD5"/>
    <w:rsid w:val="0000585F"/>
    <w:rsid w:val="0000790E"/>
    <w:rsid w:val="00010713"/>
    <w:rsid w:val="00011F4A"/>
    <w:rsid w:val="00012FB3"/>
    <w:rsid w:val="00014D4F"/>
    <w:rsid w:val="000152A5"/>
    <w:rsid w:val="000237AB"/>
    <w:rsid w:val="0003248D"/>
    <w:rsid w:val="00034005"/>
    <w:rsid w:val="0005317B"/>
    <w:rsid w:val="000543CA"/>
    <w:rsid w:val="00054EA9"/>
    <w:rsid w:val="000559B2"/>
    <w:rsid w:val="00060B5F"/>
    <w:rsid w:val="00063177"/>
    <w:rsid w:val="00064C37"/>
    <w:rsid w:val="00070204"/>
    <w:rsid w:val="00073344"/>
    <w:rsid w:val="00074721"/>
    <w:rsid w:val="00081157"/>
    <w:rsid w:val="00083CB1"/>
    <w:rsid w:val="00085843"/>
    <w:rsid w:val="000860FB"/>
    <w:rsid w:val="000952C1"/>
    <w:rsid w:val="00096A53"/>
    <w:rsid w:val="000A03E5"/>
    <w:rsid w:val="000A07EA"/>
    <w:rsid w:val="000A1122"/>
    <w:rsid w:val="000A6A4C"/>
    <w:rsid w:val="000A74AF"/>
    <w:rsid w:val="000A7B19"/>
    <w:rsid w:val="000B0125"/>
    <w:rsid w:val="000B59B5"/>
    <w:rsid w:val="000B5BAB"/>
    <w:rsid w:val="000B7EA9"/>
    <w:rsid w:val="000C3AE5"/>
    <w:rsid w:val="000C5123"/>
    <w:rsid w:val="000D4394"/>
    <w:rsid w:val="000E2B18"/>
    <w:rsid w:val="000E530D"/>
    <w:rsid w:val="000F365A"/>
    <w:rsid w:val="000F4C86"/>
    <w:rsid w:val="001046C0"/>
    <w:rsid w:val="00104701"/>
    <w:rsid w:val="00114FB7"/>
    <w:rsid w:val="00122B32"/>
    <w:rsid w:val="00123DF3"/>
    <w:rsid w:val="00126D02"/>
    <w:rsid w:val="00126F40"/>
    <w:rsid w:val="00127A6B"/>
    <w:rsid w:val="001341D1"/>
    <w:rsid w:val="0013430D"/>
    <w:rsid w:val="0013484F"/>
    <w:rsid w:val="00134BE4"/>
    <w:rsid w:val="0013549C"/>
    <w:rsid w:val="001418E2"/>
    <w:rsid w:val="0014446D"/>
    <w:rsid w:val="001446A5"/>
    <w:rsid w:val="0014486B"/>
    <w:rsid w:val="00144CF1"/>
    <w:rsid w:val="0014558B"/>
    <w:rsid w:val="00146960"/>
    <w:rsid w:val="00155639"/>
    <w:rsid w:val="00155D5E"/>
    <w:rsid w:val="00157BA7"/>
    <w:rsid w:val="001704E4"/>
    <w:rsid w:val="00175223"/>
    <w:rsid w:val="00175B2E"/>
    <w:rsid w:val="00176F17"/>
    <w:rsid w:val="001804E3"/>
    <w:rsid w:val="00180C9A"/>
    <w:rsid w:val="00182D13"/>
    <w:rsid w:val="00183B42"/>
    <w:rsid w:val="00186C54"/>
    <w:rsid w:val="00192C05"/>
    <w:rsid w:val="00197CAA"/>
    <w:rsid w:val="00197E5D"/>
    <w:rsid w:val="001A1B3A"/>
    <w:rsid w:val="001A3CEE"/>
    <w:rsid w:val="001A784A"/>
    <w:rsid w:val="001B045D"/>
    <w:rsid w:val="001C1C89"/>
    <w:rsid w:val="001C55D5"/>
    <w:rsid w:val="001D120C"/>
    <w:rsid w:val="001E03BD"/>
    <w:rsid w:val="001E684A"/>
    <w:rsid w:val="00200BD6"/>
    <w:rsid w:val="00216177"/>
    <w:rsid w:val="002230AE"/>
    <w:rsid w:val="002247D0"/>
    <w:rsid w:val="00224F80"/>
    <w:rsid w:val="0022507C"/>
    <w:rsid w:val="00226979"/>
    <w:rsid w:val="002406F5"/>
    <w:rsid w:val="00242E76"/>
    <w:rsid w:val="00243464"/>
    <w:rsid w:val="002462A8"/>
    <w:rsid w:val="00247731"/>
    <w:rsid w:val="00253C74"/>
    <w:rsid w:val="00262BAD"/>
    <w:rsid w:val="002726B1"/>
    <w:rsid w:val="002727D0"/>
    <w:rsid w:val="002749C8"/>
    <w:rsid w:val="00275325"/>
    <w:rsid w:val="00281C06"/>
    <w:rsid w:val="00285DC4"/>
    <w:rsid w:val="00294AE7"/>
    <w:rsid w:val="002A7BAE"/>
    <w:rsid w:val="002B11FA"/>
    <w:rsid w:val="002B2CA6"/>
    <w:rsid w:val="002B34ED"/>
    <w:rsid w:val="002B37A7"/>
    <w:rsid w:val="002B4342"/>
    <w:rsid w:val="002B56EB"/>
    <w:rsid w:val="002B6D47"/>
    <w:rsid w:val="002C2555"/>
    <w:rsid w:val="002C7D21"/>
    <w:rsid w:val="002D27CD"/>
    <w:rsid w:val="002D3EC0"/>
    <w:rsid w:val="002D729F"/>
    <w:rsid w:val="002E0E3C"/>
    <w:rsid w:val="002E1812"/>
    <w:rsid w:val="002E2F7F"/>
    <w:rsid w:val="002E4B20"/>
    <w:rsid w:val="002E5FC6"/>
    <w:rsid w:val="002E6D7D"/>
    <w:rsid w:val="002F2C1E"/>
    <w:rsid w:val="002F6E99"/>
    <w:rsid w:val="00300C47"/>
    <w:rsid w:val="003050B6"/>
    <w:rsid w:val="0030726B"/>
    <w:rsid w:val="0031118B"/>
    <w:rsid w:val="0031122F"/>
    <w:rsid w:val="00315EFA"/>
    <w:rsid w:val="0031625C"/>
    <w:rsid w:val="00316408"/>
    <w:rsid w:val="003179FB"/>
    <w:rsid w:val="00323A51"/>
    <w:rsid w:val="003244C9"/>
    <w:rsid w:val="0032468B"/>
    <w:rsid w:val="00327119"/>
    <w:rsid w:val="003333E4"/>
    <w:rsid w:val="00336580"/>
    <w:rsid w:val="0034184B"/>
    <w:rsid w:val="003535EB"/>
    <w:rsid w:val="00354D29"/>
    <w:rsid w:val="00356356"/>
    <w:rsid w:val="00360593"/>
    <w:rsid w:val="00360EF7"/>
    <w:rsid w:val="00361A07"/>
    <w:rsid w:val="003710A2"/>
    <w:rsid w:val="00372470"/>
    <w:rsid w:val="00376707"/>
    <w:rsid w:val="0037788A"/>
    <w:rsid w:val="0038029B"/>
    <w:rsid w:val="00383096"/>
    <w:rsid w:val="00392AA8"/>
    <w:rsid w:val="003931E6"/>
    <w:rsid w:val="003A324A"/>
    <w:rsid w:val="003A73EF"/>
    <w:rsid w:val="003B2514"/>
    <w:rsid w:val="003B54C2"/>
    <w:rsid w:val="003B5BA8"/>
    <w:rsid w:val="003C0093"/>
    <w:rsid w:val="003C1BE1"/>
    <w:rsid w:val="003C6315"/>
    <w:rsid w:val="003D1204"/>
    <w:rsid w:val="003D160D"/>
    <w:rsid w:val="003D35F4"/>
    <w:rsid w:val="003D6601"/>
    <w:rsid w:val="003D6C9A"/>
    <w:rsid w:val="003E2D1F"/>
    <w:rsid w:val="003E2DE1"/>
    <w:rsid w:val="003E47B5"/>
    <w:rsid w:val="003E5754"/>
    <w:rsid w:val="003F171F"/>
    <w:rsid w:val="003F201E"/>
    <w:rsid w:val="003F3C0C"/>
    <w:rsid w:val="0040002C"/>
    <w:rsid w:val="00400C3B"/>
    <w:rsid w:val="00403507"/>
    <w:rsid w:val="00403546"/>
    <w:rsid w:val="00404DA0"/>
    <w:rsid w:val="004158B8"/>
    <w:rsid w:val="00416B98"/>
    <w:rsid w:val="00421A99"/>
    <w:rsid w:val="0042780C"/>
    <w:rsid w:val="0043232E"/>
    <w:rsid w:val="00432BAC"/>
    <w:rsid w:val="00445161"/>
    <w:rsid w:val="004457F4"/>
    <w:rsid w:val="004472BF"/>
    <w:rsid w:val="00447C85"/>
    <w:rsid w:val="004544A9"/>
    <w:rsid w:val="00455E38"/>
    <w:rsid w:val="00456CDD"/>
    <w:rsid w:val="004605B3"/>
    <w:rsid w:val="00467CD2"/>
    <w:rsid w:val="004718A9"/>
    <w:rsid w:val="00476EC1"/>
    <w:rsid w:val="00480582"/>
    <w:rsid w:val="0048694C"/>
    <w:rsid w:val="004911B1"/>
    <w:rsid w:val="00495E43"/>
    <w:rsid w:val="004A362F"/>
    <w:rsid w:val="004A742B"/>
    <w:rsid w:val="004B29ED"/>
    <w:rsid w:val="004B50FC"/>
    <w:rsid w:val="004C064B"/>
    <w:rsid w:val="004C1CDF"/>
    <w:rsid w:val="004D26D3"/>
    <w:rsid w:val="004D3A59"/>
    <w:rsid w:val="004D6E1D"/>
    <w:rsid w:val="004F2C44"/>
    <w:rsid w:val="004F4F9F"/>
    <w:rsid w:val="004F5C1B"/>
    <w:rsid w:val="005054B5"/>
    <w:rsid w:val="00505533"/>
    <w:rsid w:val="00506344"/>
    <w:rsid w:val="005148D7"/>
    <w:rsid w:val="00521069"/>
    <w:rsid w:val="005248EA"/>
    <w:rsid w:val="0052572D"/>
    <w:rsid w:val="005431C8"/>
    <w:rsid w:val="005463F4"/>
    <w:rsid w:val="00552BA8"/>
    <w:rsid w:val="0055409A"/>
    <w:rsid w:val="00563EEF"/>
    <w:rsid w:val="00572E90"/>
    <w:rsid w:val="00575EDA"/>
    <w:rsid w:val="00591B91"/>
    <w:rsid w:val="005952DC"/>
    <w:rsid w:val="005A00B7"/>
    <w:rsid w:val="005A1F0D"/>
    <w:rsid w:val="005A51EE"/>
    <w:rsid w:val="005B0445"/>
    <w:rsid w:val="005B0A4A"/>
    <w:rsid w:val="005B5412"/>
    <w:rsid w:val="005B679B"/>
    <w:rsid w:val="005B77D3"/>
    <w:rsid w:val="005C470B"/>
    <w:rsid w:val="005C66D3"/>
    <w:rsid w:val="005D245F"/>
    <w:rsid w:val="005D3061"/>
    <w:rsid w:val="005D6260"/>
    <w:rsid w:val="005D6D58"/>
    <w:rsid w:val="005E6A58"/>
    <w:rsid w:val="005F310F"/>
    <w:rsid w:val="00602B8A"/>
    <w:rsid w:val="0060314C"/>
    <w:rsid w:val="00610CF7"/>
    <w:rsid w:val="00612D63"/>
    <w:rsid w:val="00614B12"/>
    <w:rsid w:val="006150EC"/>
    <w:rsid w:val="006164DB"/>
    <w:rsid w:val="0061679D"/>
    <w:rsid w:val="006253D8"/>
    <w:rsid w:val="00626153"/>
    <w:rsid w:val="006374A1"/>
    <w:rsid w:val="00651B6C"/>
    <w:rsid w:val="006540CB"/>
    <w:rsid w:val="00660B2A"/>
    <w:rsid w:val="00663D84"/>
    <w:rsid w:val="00682553"/>
    <w:rsid w:val="0068515C"/>
    <w:rsid w:val="0068667C"/>
    <w:rsid w:val="006A26A0"/>
    <w:rsid w:val="006A4FDA"/>
    <w:rsid w:val="006B1C07"/>
    <w:rsid w:val="006B3DA5"/>
    <w:rsid w:val="006B5B25"/>
    <w:rsid w:val="006B7827"/>
    <w:rsid w:val="006D0172"/>
    <w:rsid w:val="006E1A3A"/>
    <w:rsid w:val="006E2230"/>
    <w:rsid w:val="006E2B9C"/>
    <w:rsid w:val="006E7E4C"/>
    <w:rsid w:val="006F02E3"/>
    <w:rsid w:val="006F1C64"/>
    <w:rsid w:val="006F3C19"/>
    <w:rsid w:val="00700438"/>
    <w:rsid w:val="007013C6"/>
    <w:rsid w:val="00715660"/>
    <w:rsid w:val="007328B9"/>
    <w:rsid w:val="007336B0"/>
    <w:rsid w:val="0073563C"/>
    <w:rsid w:val="00735ADA"/>
    <w:rsid w:val="00735D71"/>
    <w:rsid w:val="00736386"/>
    <w:rsid w:val="0074138A"/>
    <w:rsid w:val="00750940"/>
    <w:rsid w:val="00751AB4"/>
    <w:rsid w:val="0076269B"/>
    <w:rsid w:val="00765E00"/>
    <w:rsid w:val="00766131"/>
    <w:rsid w:val="0077005A"/>
    <w:rsid w:val="00772DB4"/>
    <w:rsid w:val="00780AAD"/>
    <w:rsid w:val="0078371A"/>
    <w:rsid w:val="00783A4C"/>
    <w:rsid w:val="00790DCB"/>
    <w:rsid w:val="0079250C"/>
    <w:rsid w:val="00794375"/>
    <w:rsid w:val="007A05BD"/>
    <w:rsid w:val="007A725D"/>
    <w:rsid w:val="007B4A0F"/>
    <w:rsid w:val="007C05CB"/>
    <w:rsid w:val="007C1922"/>
    <w:rsid w:val="007C3153"/>
    <w:rsid w:val="007C7656"/>
    <w:rsid w:val="007D066F"/>
    <w:rsid w:val="007D1AE5"/>
    <w:rsid w:val="007D5A91"/>
    <w:rsid w:val="007E3441"/>
    <w:rsid w:val="007E460F"/>
    <w:rsid w:val="007E68C9"/>
    <w:rsid w:val="007E76F1"/>
    <w:rsid w:val="007E77E7"/>
    <w:rsid w:val="007F1DA0"/>
    <w:rsid w:val="00803F6B"/>
    <w:rsid w:val="00805901"/>
    <w:rsid w:val="00811B53"/>
    <w:rsid w:val="00816BAB"/>
    <w:rsid w:val="00817514"/>
    <w:rsid w:val="00825E03"/>
    <w:rsid w:val="00827ECC"/>
    <w:rsid w:val="0083106D"/>
    <w:rsid w:val="0083313F"/>
    <w:rsid w:val="00834D98"/>
    <w:rsid w:val="00835730"/>
    <w:rsid w:val="00835F23"/>
    <w:rsid w:val="0084210A"/>
    <w:rsid w:val="00845657"/>
    <w:rsid w:val="0084624C"/>
    <w:rsid w:val="00851C1D"/>
    <w:rsid w:val="00864E02"/>
    <w:rsid w:val="00874702"/>
    <w:rsid w:val="008775B4"/>
    <w:rsid w:val="008808A6"/>
    <w:rsid w:val="00884461"/>
    <w:rsid w:val="00885B69"/>
    <w:rsid w:val="008A159E"/>
    <w:rsid w:val="008A38E5"/>
    <w:rsid w:val="008A3F94"/>
    <w:rsid w:val="008A4B32"/>
    <w:rsid w:val="008A6037"/>
    <w:rsid w:val="008B2777"/>
    <w:rsid w:val="008B3519"/>
    <w:rsid w:val="008B4667"/>
    <w:rsid w:val="008B7085"/>
    <w:rsid w:val="008C0CBC"/>
    <w:rsid w:val="008C1602"/>
    <w:rsid w:val="008C1FFC"/>
    <w:rsid w:val="008D1AD8"/>
    <w:rsid w:val="008D2E7D"/>
    <w:rsid w:val="008D5FED"/>
    <w:rsid w:val="008E0B11"/>
    <w:rsid w:val="008E2734"/>
    <w:rsid w:val="008E5296"/>
    <w:rsid w:val="008F35F1"/>
    <w:rsid w:val="008F3FB1"/>
    <w:rsid w:val="009008F4"/>
    <w:rsid w:val="00901A1A"/>
    <w:rsid w:val="009020BF"/>
    <w:rsid w:val="00905BB4"/>
    <w:rsid w:val="00907813"/>
    <w:rsid w:val="00911B9D"/>
    <w:rsid w:val="009142F4"/>
    <w:rsid w:val="00921C07"/>
    <w:rsid w:val="00930A10"/>
    <w:rsid w:val="0093199F"/>
    <w:rsid w:val="00932958"/>
    <w:rsid w:val="00941B80"/>
    <w:rsid w:val="00947CC7"/>
    <w:rsid w:val="00951519"/>
    <w:rsid w:val="009535AF"/>
    <w:rsid w:val="0096301A"/>
    <w:rsid w:val="00964D6C"/>
    <w:rsid w:val="00965133"/>
    <w:rsid w:val="00965E0F"/>
    <w:rsid w:val="00971AD3"/>
    <w:rsid w:val="00980F62"/>
    <w:rsid w:val="00981123"/>
    <w:rsid w:val="00982629"/>
    <w:rsid w:val="0098468C"/>
    <w:rsid w:val="0098667C"/>
    <w:rsid w:val="009907B9"/>
    <w:rsid w:val="00992351"/>
    <w:rsid w:val="009A08B6"/>
    <w:rsid w:val="009A2377"/>
    <w:rsid w:val="009A4D11"/>
    <w:rsid w:val="009B3ED3"/>
    <w:rsid w:val="009B4ADC"/>
    <w:rsid w:val="009C1730"/>
    <w:rsid w:val="009D6232"/>
    <w:rsid w:val="009E15D4"/>
    <w:rsid w:val="009F25BD"/>
    <w:rsid w:val="009F3C7E"/>
    <w:rsid w:val="009F5646"/>
    <w:rsid w:val="009F7873"/>
    <w:rsid w:val="009F7979"/>
    <w:rsid w:val="009F7AE7"/>
    <w:rsid w:val="00A03FA7"/>
    <w:rsid w:val="00A06395"/>
    <w:rsid w:val="00A06AEF"/>
    <w:rsid w:val="00A10700"/>
    <w:rsid w:val="00A14D49"/>
    <w:rsid w:val="00A15184"/>
    <w:rsid w:val="00A1637D"/>
    <w:rsid w:val="00A2566B"/>
    <w:rsid w:val="00A32086"/>
    <w:rsid w:val="00A34E84"/>
    <w:rsid w:val="00A352B0"/>
    <w:rsid w:val="00A37886"/>
    <w:rsid w:val="00A472C6"/>
    <w:rsid w:val="00A51E78"/>
    <w:rsid w:val="00A570A1"/>
    <w:rsid w:val="00A60974"/>
    <w:rsid w:val="00A61DCD"/>
    <w:rsid w:val="00A65535"/>
    <w:rsid w:val="00A724CF"/>
    <w:rsid w:val="00A7532F"/>
    <w:rsid w:val="00A761CF"/>
    <w:rsid w:val="00A81682"/>
    <w:rsid w:val="00A84D92"/>
    <w:rsid w:val="00A84E65"/>
    <w:rsid w:val="00A95B6C"/>
    <w:rsid w:val="00AA7480"/>
    <w:rsid w:val="00AB1481"/>
    <w:rsid w:val="00AB2ABB"/>
    <w:rsid w:val="00AB4743"/>
    <w:rsid w:val="00AB5C67"/>
    <w:rsid w:val="00AB7C98"/>
    <w:rsid w:val="00AC47D9"/>
    <w:rsid w:val="00AC74DA"/>
    <w:rsid w:val="00AD0DA1"/>
    <w:rsid w:val="00AE0209"/>
    <w:rsid w:val="00AE2095"/>
    <w:rsid w:val="00AE5322"/>
    <w:rsid w:val="00AE5FEF"/>
    <w:rsid w:val="00AE73E2"/>
    <w:rsid w:val="00AF1CF9"/>
    <w:rsid w:val="00AF2AE3"/>
    <w:rsid w:val="00AF7B4F"/>
    <w:rsid w:val="00AF7C58"/>
    <w:rsid w:val="00B05787"/>
    <w:rsid w:val="00B15323"/>
    <w:rsid w:val="00B259AC"/>
    <w:rsid w:val="00B268D9"/>
    <w:rsid w:val="00B26EC9"/>
    <w:rsid w:val="00B31B8F"/>
    <w:rsid w:val="00B333B0"/>
    <w:rsid w:val="00B43561"/>
    <w:rsid w:val="00B440DB"/>
    <w:rsid w:val="00B4415D"/>
    <w:rsid w:val="00B45103"/>
    <w:rsid w:val="00B45D24"/>
    <w:rsid w:val="00B52992"/>
    <w:rsid w:val="00B538C6"/>
    <w:rsid w:val="00B62018"/>
    <w:rsid w:val="00B63114"/>
    <w:rsid w:val="00B64A22"/>
    <w:rsid w:val="00B67D14"/>
    <w:rsid w:val="00B700C3"/>
    <w:rsid w:val="00B8042D"/>
    <w:rsid w:val="00B810FF"/>
    <w:rsid w:val="00B8418B"/>
    <w:rsid w:val="00B84519"/>
    <w:rsid w:val="00B87463"/>
    <w:rsid w:val="00B91E5C"/>
    <w:rsid w:val="00BA00E2"/>
    <w:rsid w:val="00BA4255"/>
    <w:rsid w:val="00BA4F5A"/>
    <w:rsid w:val="00BA7BBA"/>
    <w:rsid w:val="00BB3DE5"/>
    <w:rsid w:val="00BB4394"/>
    <w:rsid w:val="00BB5ABD"/>
    <w:rsid w:val="00BC1BA9"/>
    <w:rsid w:val="00BC41E1"/>
    <w:rsid w:val="00BD2FC7"/>
    <w:rsid w:val="00BD6EC1"/>
    <w:rsid w:val="00BE25AF"/>
    <w:rsid w:val="00BE3F11"/>
    <w:rsid w:val="00BF3FBF"/>
    <w:rsid w:val="00C01D14"/>
    <w:rsid w:val="00C04DD5"/>
    <w:rsid w:val="00C073D6"/>
    <w:rsid w:val="00C07645"/>
    <w:rsid w:val="00C12785"/>
    <w:rsid w:val="00C14D2D"/>
    <w:rsid w:val="00C15327"/>
    <w:rsid w:val="00C205DD"/>
    <w:rsid w:val="00C242B2"/>
    <w:rsid w:val="00C25F74"/>
    <w:rsid w:val="00C31FE6"/>
    <w:rsid w:val="00C35546"/>
    <w:rsid w:val="00C4092D"/>
    <w:rsid w:val="00C4278B"/>
    <w:rsid w:val="00C43BD2"/>
    <w:rsid w:val="00C44F90"/>
    <w:rsid w:val="00C47E9C"/>
    <w:rsid w:val="00C52FD7"/>
    <w:rsid w:val="00C57277"/>
    <w:rsid w:val="00C616E4"/>
    <w:rsid w:val="00C648E2"/>
    <w:rsid w:val="00C6603B"/>
    <w:rsid w:val="00C71E3F"/>
    <w:rsid w:val="00C75A4D"/>
    <w:rsid w:val="00C75CE4"/>
    <w:rsid w:val="00C8367C"/>
    <w:rsid w:val="00C83EC8"/>
    <w:rsid w:val="00C84EC9"/>
    <w:rsid w:val="00C90645"/>
    <w:rsid w:val="00C92A41"/>
    <w:rsid w:val="00C95E0F"/>
    <w:rsid w:val="00CA3BAD"/>
    <w:rsid w:val="00CB1858"/>
    <w:rsid w:val="00CC0087"/>
    <w:rsid w:val="00CD0085"/>
    <w:rsid w:val="00CE1BDC"/>
    <w:rsid w:val="00CF3E52"/>
    <w:rsid w:val="00D00043"/>
    <w:rsid w:val="00D003BE"/>
    <w:rsid w:val="00D03468"/>
    <w:rsid w:val="00D03E18"/>
    <w:rsid w:val="00D06094"/>
    <w:rsid w:val="00D110CC"/>
    <w:rsid w:val="00D1310A"/>
    <w:rsid w:val="00D165B0"/>
    <w:rsid w:val="00D249EC"/>
    <w:rsid w:val="00D30CFE"/>
    <w:rsid w:val="00D314BC"/>
    <w:rsid w:val="00D319FC"/>
    <w:rsid w:val="00D37964"/>
    <w:rsid w:val="00D40468"/>
    <w:rsid w:val="00D41BD8"/>
    <w:rsid w:val="00D45FD5"/>
    <w:rsid w:val="00D501E4"/>
    <w:rsid w:val="00D51F3A"/>
    <w:rsid w:val="00D6213F"/>
    <w:rsid w:val="00D62340"/>
    <w:rsid w:val="00D63F18"/>
    <w:rsid w:val="00D6527D"/>
    <w:rsid w:val="00D6795D"/>
    <w:rsid w:val="00D729EC"/>
    <w:rsid w:val="00D74B92"/>
    <w:rsid w:val="00D83A9A"/>
    <w:rsid w:val="00D841C1"/>
    <w:rsid w:val="00D93010"/>
    <w:rsid w:val="00D946E9"/>
    <w:rsid w:val="00D9604F"/>
    <w:rsid w:val="00D9737C"/>
    <w:rsid w:val="00DA76AC"/>
    <w:rsid w:val="00DB0D28"/>
    <w:rsid w:val="00DB3D0C"/>
    <w:rsid w:val="00DB4D49"/>
    <w:rsid w:val="00DB767D"/>
    <w:rsid w:val="00DC07E5"/>
    <w:rsid w:val="00DC395D"/>
    <w:rsid w:val="00DC634D"/>
    <w:rsid w:val="00DD0FFA"/>
    <w:rsid w:val="00DD202C"/>
    <w:rsid w:val="00DD3863"/>
    <w:rsid w:val="00DE5376"/>
    <w:rsid w:val="00DE60D1"/>
    <w:rsid w:val="00DF050A"/>
    <w:rsid w:val="00DF59BD"/>
    <w:rsid w:val="00DF6FC3"/>
    <w:rsid w:val="00DF751A"/>
    <w:rsid w:val="00DF7A31"/>
    <w:rsid w:val="00E01827"/>
    <w:rsid w:val="00E05A1C"/>
    <w:rsid w:val="00E07333"/>
    <w:rsid w:val="00E129EE"/>
    <w:rsid w:val="00E12BAD"/>
    <w:rsid w:val="00E13411"/>
    <w:rsid w:val="00E14AC6"/>
    <w:rsid w:val="00E30F62"/>
    <w:rsid w:val="00E36ECE"/>
    <w:rsid w:val="00E46B69"/>
    <w:rsid w:val="00E573AC"/>
    <w:rsid w:val="00E57B94"/>
    <w:rsid w:val="00E62839"/>
    <w:rsid w:val="00E62E85"/>
    <w:rsid w:val="00E64EE1"/>
    <w:rsid w:val="00E65C1E"/>
    <w:rsid w:val="00E75F13"/>
    <w:rsid w:val="00E76022"/>
    <w:rsid w:val="00E83456"/>
    <w:rsid w:val="00EA25E4"/>
    <w:rsid w:val="00EA3E87"/>
    <w:rsid w:val="00EA7A22"/>
    <w:rsid w:val="00EA7DE2"/>
    <w:rsid w:val="00EB004F"/>
    <w:rsid w:val="00EB6AC3"/>
    <w:rsid w:val="00EC6D59"/>
    <w:rsid w:val="00EC703C"/>
    <w:rsid w:val="00ED0777"/>
    <w:rsid w:val="00ED2DE0"/>
    <w:rsid w:val="00ED6645"/>
    <w:rsid w:val="00ED6F4E"/>
    <w:rsid w:val="00EE37EE"/>
    <w:rsid w:val="00EE6EB1"/>
    <w:rsid w:val="00EF43D5"/>
    <w:rsid w:val="00EF4E23"/>
    <w:rsid w:val="00EF691D"/>
    <w:rsid w:val="00F0000C"/>
    <w:rsid w:val="00F002E5"/>
    <w:rsid w:val="00F03838"/>
    <w:rsid w:val="00F03945"/>
    <w:rsid w:val="00F04C86"/>
    <w:rsid w:val="00F0598E"/>
    <w:rsid w:val="00F11D4E"/>
    <w:rsid w:val="00F12CC8"/>
    <w:rsid w:val="00F20765"/>
    <w:rsid w:val="00F20D44"/>
    <w:rsid w:val="00F22314"/>
    <w:rsid w:val="00F238CE"/>
    <w:rsid w:val="00F24EE1"/>
    <w:rsid w:val="00F35CB9"/>
    <w:rsid w:val="00F36445"/>
    <w:rsid w:val="00F37D41"/>
    <w:rsid w:val="00F412D7"/>
    <w:rsid w:val="00F43996"/>
    <w:rsid w:val="00F45AD5"/>
    <w:rsid w:val="00F45F72"/>
    <w:rsid w:val="00F47184"/>
    <w:rsid w:val="00F51398"/>
    <w:rsid w:val="00F521B6"/>
    <w:rsid w:val="00F53C1F"/>
    <w:rsid w:val="00F53D7D"/>
    <w:rsid w:val="00F54201"/>
    <w:rsid w:val="00F5464F"/>
    <w:rsid w:val="00F6446E"/>
    <w:rsid w:val="00F64A92"/>
    <w:rsid w:val="00F657F3"/>
    <w:rsid w:val="00F80BF6"/>
    <w:rsid w:val="00F81802"/>
    <w:rsid w:val="00F82819"/>
    <w:rsid w:val="00F8452D"/>
    <w:rsid w:val="00F95BCB"/>
    <w:rsid w:val="00F96634"/>
    <w:rsid w:val="00F96A5C"/>
    <w:rsid w:val="00FA1FBC"/>
    <w:rsid w:val="00FA2C97"/>
    <w:rsid w:val="00FA2FC5"/>
    <w:rsid w:val="00FB15C3"/>
    <w:rsid w:val="00FB35BE"/>
    <w:rsid w:val="00FC43B8"/>
    <w:rsid w:val="00FC4E58"/>
    <w:rsid w:val="00FC51C4"/>
    <w:rsid w:val="00FC7004"/>
    <w:rsid w:val="00FD06A0"/>
    <w:rsid w:val="00FD13FB"/>
    <w:rsid w:val="00FD228E"/>
    <w:rsid w:val="00FD4E9B"/>
    <w:rsid w:val="00FD7D5F"/>
    <w:rsid w:val="00FE1A2F"/>
    <w:rsid w:val="00FE5F50"/>
    <w:rsid w:val="00FF1B25"/>
    <w:rsid w:val="00FF7A85"/>
    <w:rsid w:val="018B30C2"/>
    <w:rsid w:val="019D6199"/>
    <w:rsid w:val="01C35AF5"/>
    <w:rsid w:val="02C265F9"/>
    <w:rsid w:val="03997AC2"/>
    <w:rsid w:val="03BB44AD"/>
    <w:rsid w:val="03F0214E"/>
    <w:rsid w:val="03F80464"/>
    <w:rsid w:val="0424532F"/>
    <w:rsid w:val="04314F30"/>
    <w:rsid w:val="045C2ADF"/>
    <w:rsid w:val="046F214C"/>
    <w:rsid w:val="04F44A98"/>
    <w:rsid w:val="054A5EB5"/>
    <w:rsid w:val="054E05C4"/>
    <w:rsid w:val="05796D5E"/>
    <w:rsid w:val="05A60C53"/>
    <w:rsid w:val="05E61A3D"/>
    <w:rsid w:val="0620091D"/>
    <w:rsid w:val="06325B44"/>
    <w:rsid w:val="06661F8B"/>
    <w:rsid w:val="06860A30"/>
    <w:rsid w:val="06AE4ECD"/>
    <w:rsid w:val="06B6300F"/>
    <w:rsid w:val="072328BA"/>
    <w:rsid w:val="07822473"/>
    <w:rsid w:val="07A1400D"/>
    <w:rsid w:val="07BB67DE"/>
    <w:rsid w:val="082C4C7B"/>
    <w:rsid w:val="091412E0"/>
    <w:rsid w:val="092E476B"/>
    <w:rsid w:val="093A21B9"/>
    <w:rsid w:val="09412610"/>
    <w:rsid w:val="094E3D69"/>
    <w:rsid w:val="09C70938"/>
    <w:rsid w:val="09FE29B2"/>
    <w:rsid w:val="0A4372AD"/>
    <w:rsid w:val="0A596A08"/>
    <w:rsid w:val="0A782F2B"/>
    <w:rsid w:val="0A971D70"/>
    <w:rsid w:val="0AB77A2F"/>
    <w:rsid w:val="0B57477A"/>
    <w:rsid w:val="0B5A7879"/>
    <w:rsid w:val="0B904506"/>
    <w:rsid w:val="0BFD28E4"/>
    <w:rsid w:val="0C082ECB"/>
    <w:rsid w:val="0C4010C7"/>
    <w:rsid w:val="0C802A87"/>
    <w:rsid w:val="0C8377FC"/>
    <w:rsid w:val="0D006D7C"/>
    <w:rsid w:val="0D322265"/>
    <w:rsid w:val="0D9F5B85"/>
    <w:rsid w:val="0E607BB8"/>
    <w:rsid w:val="0E6B1594"/>
    <w:rsid w:val="0F635DF8"/>
    <w:rsid w:val="0F845DEA"/>
    <w:rsid w:val="0FB85BDB"/>
    <w:rsid w:val="0FC5746F"/>
    <w:rsid w:val="10180236"/>
    <w:rsid w:val="10687993"/>
    <w:rsid w:val="10741D7C"/>
    <w:rsid w:val="10A77A62"/>
    <w:rsid w:val="10CF5F02"/>
    <w:rsid w:val="11184B2C"/>
    <w:rsid w:val="111D3473"/>
    <w:rsid w:val="113169DC"/>
    <w:rsid w:val="11BB40A7"/>
    <w:rsid w:val="11D54C50"/>
    <w:rsid w:val="122B7BDE"/>
    <w:rsid w:val="12541B05"/>
    <w:rsid w:val="12A72C53"/>
    <w:rsid w:val="13263BA0"/>
    <w:rsid w:val="13272F78"/>
    <w:rsid w:val="133504F9"/>
    <w:rsid w:val="139E3581"/>
    <w:rsid w:val="13B61995"/>
    <w:rsid w:val="13E96481"/>
    <w:rsid w:val="142774B0"/>
    <w:rsid w:val="1440627F"/>
    <w:rsid w:val="147E03D6"/>
    <w:rsid w:val="15632263"/>
    <w:rsid w:val="16120B81"/>
    <w:rsid w:val="162A266C"/>
    <w:rsid w:val="165D6CAE"/>
    <w:rsid w:val="16664EBF"/>
    <w:rsid w:val="169A3C25"/>
    <w:rsid w:val="16DF634E"/>
    <w:rsid w:val="173220D1"/>
    <w:rsid w:val="177B10D8"/>
    <w:rsid w:val="17D13CA1"/>
    <w:rsid w:val="17E531F7"/>
    <w:rsid w:val="180E1588"/>
    <w:rsid w:val="182314C6"/>
    <w:rsid w:val="183D6854"/>
    <w:rsid w:val="18863C4E"/>
    <w:rsid w:val="18DF3E5F"/>
    <w:rsid w:val="18EA47C9"/>
    <w:rsid w:val="18F83704"/>
    <w:rsid w:val="1907259E"/>
    <w:rsid w:val="191161FB"/>
    <w:rsid w:val="19F55BCD"/>
    <w:rsid w:val="1A0B3DDD"/>
    <w:rsid w:val="1A1B6230"/>
    <w:rsid w:val="1A3B7A14"/>
    <w:rsid w:val="1A716F5F"/>
    <w:rsid w:val="1A751B4A"/>
    <w:rsid w:val="1AB163FF"/>
    <w:rsid w:val="1AEF20BB"/>
    <w:rsid w:val="1B0A2B9D"/>
    <w:rsid w:val="1B6769DF"/>
    <w:rsid w:val="1B7457C9"/>
    <w:rsid w:val="1B9B5DB7"/>
    <w:rsid w:val="1BBB7A8F"/>
    <w:rsid w:val="1BD73E6F"/>
    <w:rsid w:val="1C220738"/>
    <w:rsid w:val="1C2433DE"/>
    <w:rsid w:val="1C404155"/>
    <w:rsid w:val="1C60279C"/>
    <w:rsid w:val="1CD34CD9"/>
    <w:rsid w:val="1DD708B6"/>
    <w:rsid w:val="1DE63E53"/>
    <w:rsid w:val="1E2E7780"/>
    <w:rsid w:val="1E3E64A9"/>
    <w:rsid w:val="1E924522"/>
    <w:rsid w:val="1E9A0DC1"/>
    <w:rsid w:val="1EEF1B50"/>
    <w:rsid w:val="1F1826A5"/>
    <w:rsid w:val="1F192994"/>
    <w:rsid w:val="1F8F6F61"/>
    <w:rsid w:val="1FD15FA4"/>
    <w:rsid w:val="204D1A8C"/>
    <w:rsid w:val="20515ADA"/>
    <w:rsid w:val="2069366E"/>
    <w:rsid w:val="20B501B7"/>
    <w:rsid w:val="20B50589"/>
    <w:rsid w:val="20CC70F5"/>
    <w:rsid w:val="20D36DA5"/>
    <w:rsid w:val="20DB6E4B"/>
    <w:rsid w:val="214E3823"/>
    <w:rsid w:val="21D02FCE"/>
    <w:rsid w:val="21DA6879"/>
    <w:rsid w:val="220964A4"/>
    <w:rsid w:val="221F0AB7"/>
    <w:rsid w:val="22202C8C"/>
    <w:rsid w:val="223E2B71"/>
    <w:rsid w:val="228B6AB8"/>
    <w:rsid w:val="2363459D"/>
    <w:rsid w:val="2380063A"/>
    <w:rsid w:val="24192B24"/>
    <w:rsid w:val="244C451B"/>
    <w:rsid w:val="24500554"/>
    <w:rsid w:val="24535FA7"/>
    <w:rsid w:val="249262B8"/>
    <w:rsid w:val="25167467"/>
    <w:rsid w:val="25603D6C"/>
    <w:rsid w:val="26694895"/>
    <w:rsid w:val="26D447B3"/>
    <w:rsid w:val="273227DB"/>
    <w:rsid w:val="277A5A3B"/>
    <w:rsid w:val="27C44B4F"/>
    <w:rsid w:val="27F84FA1"/>
    <w:rsid w:val="28562DBC"/>
    <w:rsid w:val="2882699C"/>
    <w:rsid w:val="29346F27"/>
    <w:rsid w:val="295B3526"/>
    <w:rsid w:val="29684A53"/>
    <w:rsid w:val="29D234EA"/>
    <w:rsid w:val="2A1E5382"/>
    <w:rsid w:val="2A2D00A9"/>
    <w:rsid w:val="2A63437F"/>
    <w:rsid w:val="2AA027A4"/>
    <w:rsid w:val="2B971CE1"/>
    <w:rsid w:val="2BDF6B05"/>
    <w:rsid w:val="2BF61FAE"/>
    <w:rsid w:val="2C4C6EAE"/>
    <w:rsid w:val="2C542347"/>
    <w:rsid w:val="2C701289"/>
    <w:rsid w:val="2CCD64E8"/>
    <w:rsid w:val="2D660F0B"/>
    <w:rsid w:val="2D6E6EEA"/>
    <w:rsid w:val="2D786D08"/>
    <w:rsid w:val="2D925252"/>
    <w:rsid w:val="2DD87F45"/>
    <w:rsid w:val="2DE354F9"/>
    <w:rsid w:val="2DF47C04"/>
    <w:rsid w:val="2E2C1A59"/>
    <w:rsid w:val="2E343CBB"/>
    <w:rsid w:val="2E574E83"/>
    <w:rsid w:val="2E616028"/>
    <w:rsid w:val="2E7A1926"/>
    <w:rsid w:val="2E92749B"/>
    <w:rsid w:val="2EB76CAF"/>
    <w:rsid w:val="2EC91B9A"/>
    <w:rsid w:val="2F1C119D"/>
    <w:rsid w:val="2F286E0D"/>
    <w:rsid w:val="2F722F15"/>
    <w:rsid w:val="3024558B"/>
    <w:rsid w:val="30611B6D"/>
    <w:rsid w:val="30A32E5A"/>
    <w:rsid w:val="30A74D3B"/>
    <w:rsid w:val="30E4632A"/>
    <w:rsid w:val="31324444"/>
    <w:rsid w:val="31641B81"/>
    <w:rsid w:val="31C97268"/>
    <w:rsid w:val="320026C4"/>
    <w:rsid w:val="3227360A"/>
    <w:rsid w:val="32444F5E"/>
    <w:rsid w:val="3401382C"/>
    <w:rsid w:val="341579FF"/>
    <w:rsid w:val="343E6645"/>
    <w:rsid w:val="35650E4D"/>
    <w:rsid w:val="36086923"/>
    <w:rsid w:val="360C5562"/>
    <w:rsid w:val="363B53DF"/>
    <w:rsid w:val="36912311"/>
    <w:rsid w:val="36CE59FA"/>
    <w:rsid w:val="37FE7E20"/>
    <w:rsid w:val="38226957"/>
    <w:rsid w:val="38B94E67"/>
    <w:rsid w:val="38D85AB4"/>
    <w:rsid w:val="38DC2494"/>
    <w:rsid w:val="39234E5E"/>
    <w:rsid w:val="39466C4F"/>
    <w:rsid w:val="39671707"/>
    <w:rsid w:val="39A86124"/>
    <w:rsid w:val="39B479BB"/>
    <w:rsid w:val="3A035551"/>
    <w:rsid w:val="3A86333B"/>
    <w:rsid w:val="3A8A588E"/>
    <w:rsid w:val="3A9E53BA"/>
    <w:rsid w:val="3AA03338"/>
    <w:rsid w:val="3AC978D1"/>
    <w:rsid w:val="3ADD0722"/>
    <w:rsid w:val="3B026B0F"/>
    <w:rsid w:val="3B044D5F"/>
    <w:rsid w:val="3B236022"/>
    <w:rsid w:val="3B565EB9"/>
    <w:rsid w:val="3B784830"/>
    <w:rsid w:val="3BCE5AAC"/>
    <w:rsid w:val="3BFD5C9E"/>
    <w:rsid w:val="3C0F6F34"/>
    <w:rsid w:val="3C1464F1"/>
    <w:rsid w:val="3D5567B2"/>
    <w:rsid w:val="3D7106DB"/>
    <w:rsid w:val="3D884FC1"/>
    <w:rsid w:val="3DCA206F"/>
    <w:rsid w:val="3DCC2998"/>
    <w:rsid w:val="3DEE7856"/>
    <w:rsid w:val="3E1D7086"/>
    <w:rsid w:val="3E317E18"/>
    <w:rsid w:val="3F141D55"/>
    <w:rsid w:val="3F5538EE"/>
    <w:rsid w:val="3F903F59"/>
    <w:rsid w:val="3FA550A3"/>
    <w:rsid w:val="40855567"/>
    <w:rsid w:val="410D6560"/>
    <w:rsid w:val="41134E62"/>
    <w:rsid w:val="414F3913"/>
    <w:rsid w:val="417D1121"/>
    <w:rsid w:val="418322F2"/>
    <w:rsid w:val="418D636A"/>
    <w:rsid w:val="423B3B37"/>
    <w:rsid w:val="4258610C"/>
    <w:rsid w:val="42C53A9C"/>
    <w:rsid w:val="42CF65A9"/>
    <w:rsid w:val="43611C31"/>
    <w:rsid w:val="44300BF5"/>
    <w:rsid w:val="446E05D4"/>
    <w:rsid w:val="44965C2C"/>
    <w:rsid w:val="44AA4869"/>
    <w:rsid w:val="454D3EA5"/>
    <w:rsid w:val="45912A72"/>
    <w:rsid w:val="45DA52A8"/>
    <w:rsid w:val="45F911E9"/>
    <w:rsid w:val="46580C4E"/>
    <w:rsid w:val="47210E42"/>
    <w:rsid w:val="4730365B"/>
    <w:rsid w:val="482D75F8"/>
    <w:rsid w:val="488A54A4"/>
    <w:rsid w:val="48A553A3"/>
    <w:rsid w:val="48F851C5"/>
    <w:rsid w:val="495F57BC"/>
    <w:rsid w:val="498A2827"/>
    <w:rsid w:val="498A65DA"/>
    <w:rsid w:val="498C7C37"/>
    <w:rsid w:val="49916668"/>
    <w:rsid w:val="4A165991"/>
    <w:rsid w:val="4A476EA3"/>
    <w:rsid w:val="4A8A424F"/>
    <w:rsid w:val="4AB86EC3"/>
    <w:rsid w:val="4ACB6AFF"/>
    <w:rsid w:val="4AF65AC7"/>
    <w:rsid w:val="4B0B23F3"/>
    <w:rsid w:val="4B3D2B25"/>
    <w:rsid w:val="4B7C14B5"/>
    <w:rsid w:val="4C7622A1"/>
    <w:rsid w:val="4C8E3AA7"/>
    <w:rsid w:val="4D797BD0"/>
    <w:rsid w:val="4E531FE2"/>
    <w:rsid w:val="4E851DDE"/>
    <w:rsid w:val="4E866A4D"/>
    <w:rsid w:val="4F904078"/>
    <w:rsid w:val="500D5E54"/>
    <w:rsid w:val="509D3AA4"/>
    <w:rsid w:val="51486F2A"/>
    <w:rsid w:val="519028E0"/>
    <w:rsid w:val="51DF561F"/>
    <w:rsid w:val="522C1839"/>
    <w:rsid w:val="5247460D"/>
    <w:rsid w:val="52AE5FF2"/>
    <w:rsid w:val="52C85E60"/>
    <w:rsid w:val="52E5347B"/>
    <w:rsid w:val="52F4603B"/>
    <w:rsid w:val="535A53CF"/>
    <w:rsid w:val="53762EEC"/>
    <w:rsid w:val="53872039"/>
    <w:rsid w:val="53E02299"/>
    <w:rsid w:val="53E1259B"/>
    <w:rsid w:val="53F26FC1"/>
    <w:rsid w:val="540C7FF2"/>
    <w:rsid w:val="543878C2"/>
    <w:rsid w:val="55591611"/>
    <w:rsid w:val="55D53570"/>
    <w:rsid w:val="565C22F4"/>
    <w:rsid w:val="56AB4841"/>
    <w:rsid w:val="56C5170D"/>
    <w:rsid w:val="56EE43AE"/>
    <w:rsid w:val="56F77E4E"/>
    <w:rsid w:val="57312F2C"/>
    <w:rsid w:val="5735078A"/>
    <w:rsid w:val="57476C71"/>
    <w:rsid w:val="5753107B"/>
    <w:rsid w:val="575350B5"/>
    <w:rsid w:val="5777740D"/>
    <w:rsid w:val="57AF2DEA"/>
    <w:rsid w:val="57BE5D21"/>
    <w:rsid w:val="58193164"/>
    <w:rsid w:val="58AA37AF"/>
    <w:rsid w:val="598D6AF8"/>
    <w:rsid w:val="5A3B5B99"/>
    <w:rsid w:val="5A3D5D63"/>
    <w:rsid w:val="5A4E6182"/>
    <w:rsid w:val="5A523E5D"/>
    <w:rsid w:val="5A5F2402"/>
    <w:rsid w:val="5AE52219"/>
    <w:rsid w:val="5B4B2AA8"/>
    <w:rsid w:val="5B5457CE"/>
    <w:rsid w:val="5B6F544B"/>
    <w:rsid w:val="5BCD55CF"/>
    <w:rsid w:val="5C320D48"/>
    <w:rsid w:val="5CCB3F43"/>
    <w:rsid w:val="5CD00C45"/>
    <w:rsid w:val="5CF87C44"/>
    <w:rsid w:val="5D1622EC"/>
    <w:rsid w:val="5D8A3FC2"/>
    <w:rsid w:val="5DBA0AB3"/>
    <w:rsid w:val="5E4A64C2"/>
    <w:rsid w:val="5E8D610B"/>
    <w:rsid w:val="5F9F5478"/>
    <w:rsid w:val="601C63BD"/>
    <w:rsid w:val="605C13A4"/>
    <w:rsid w:val="611236F1"/>
    <w:rsid w:val="611B2B15"/>
    <w:rsid w:val="6125061D"/>
    <w:rsid w:val="614C6AAF"/>
    <w:rsid w:val="61B47832"/>
    <w:rsid w:val="61D7619D"/>
    <w:rsid w:val="62D43425"/>
    <w:rsid w:val="63B60B68"/>
    <w:rsid w:val="64087C2C"/>
    <w:rsid w:val="646605FE"/>
    <w:rsid w:val="646C5FB1"/>
    <w:rsid w:val="64874318"/>
    <w:rsid w:val="64932A0A"/>
    <w:rsid w:val="64947810"/>
    <w:rsid w:val="65345ADC"/>
    <w:rsid w:val="65973BBB"/>
    <w:rsid w:val="659C5069"/>
    <w:rsid w:val="664D7E66"/>
    <w:rsid w:val="66EF6B43"/>
    <w:rsid w:val="672F63D1"/>
    <w:rsid w:val="676320BD"/>
    <w:rsid w:val="676E094C"/>
    <w:rsid w:val="67A8101C"/>
    <w:rsid w:val="6885176F"/>
    <w:rsid w:val="68E14376"/>
    <w:rsid w:val="690F430A"/>
    <w:rsid w:val="69B304BD"/>
    <w:rsid w:val="69C74777"/>
    <w:rsid w:val="69D519B1"/>
    <w:rsid w:val="69EB4481"/>
    <w:rsid w:val="6A070C95"/>
    <w:rsid w:val="6A162D53"/>
    <w:rsid w:val="6A2941D1"/>
    <w:rsid w:val="6A582444"/>
    <w:rsid w:val="6A990843"/>
    <w:rsid w:val="6AB34E53"/>
    <w:rsid w:val="6B026958"/>
    <w:rsid w:val="6B29789C"/>
    <w:rsid w:val="6BFA38B5"/>
    <w:rsid w:val="6C185166"/>
    <w:rsid w:val="6C72764F"/>
    <w:rsid w:val="6CAC67BF"/>
    <w:rsid w:val="6CAD6BDB"/>
    <w:rsid w:val="6CE00556"/>
    <w:rsid w:val="6CE34371"/>
    <w:rsid w:val="6D40618A"/>
    <w:rsid w:val="6D541767"/>
    <w:rsid w:val="6DA94157"/>
    <w:rsid w:val="6DD96349"/>
    <w:rsid w:val="6E804558"/>
    <w:rsid w:val="6EA9791B"/>
    <w:rsid w:val="6EC840A3"/>
    <w:rsid w:val="6ECB1154"/>
    <w:rsid w:val="6ECF77C9"/>
    <w:rsid w:val="6EDA6A94"/>
    <w:rsid w:val="6F2C536B"/>
    <w:rsid w:val="6F3239AE"/>
    <w:rsid w:val="6FD64C81"/>
    <w:rsid w:val="6FF80D33"/>
    <w:rsid w:val="7005690A"/>
    <w:rsid w:val="70403A8E"/>
    <w:rsid w:val="70497C18"/>
    <w:rsid w:val="706044C2"/>
    <w:rsid w:val="707217B7"/>
    <w:rsid w:val="70A17A56"/>
    <w:rsid w:val="70D3750B"/>
    <w:rsid w:val="70F826C0"/>
    <w:rsid w:val="71005E23"/>
    <w:rsid w:val="71E722EB"/>
    <w:rsid w:val="72063E6D"/>
    <w:rsid w:val="720E10EA"/>
    <w:rsid w:val="72150A9E"/>
    <w:rsid w:val="72242320"/>
    <w:rsid w:val="72293730"/>
    <w:rsid w:val="724A4A01"/>
    <w:rsid w:val="726D6547"/>
    <w:rsid w:val="73116912"/>
    <w:rsid w:val="73181763"/>
    <w:rsid w:val="73954482"/>
    <w:rsid w:val="73C43C1D"/>
    <w:rsid w:val="73E4080F"/>
    <w:rsid w:val="740735EA"/>
    <w:rsid w:val="748C3188"/>
    <w:rsid w:val="748D12C5"/>
    <w:rsid w:val="74C2123B"/>
    <w:rsid w:val="74C701A5"/>
    <w:rsid w:val="75285EA2"/>
    <w:rsid w:val="758343EA"/>
    <w:rsid w:val="75D77FE2"/>
    <w:rsid w:val="76421559"/>
    <w:rsid w:val="76446D01"/>
    <w:rsid w:val="76660B4B"/>
    <w:rsid w:val="76806F21"/>
    <w:rsid w:val="76AB45E2"/>
    <w:rsid w:val="76DD19B6"/>
    <w:rsid w:val="772B1020"/>
    <w:rsid w:val="77687E54"/>
    <w:rsid w:val="77C07374"/>
    <w:rsid w:val="7843210C"/>
    <w:rsid w:val="78685CE5"/>
    <w:rsid w:val="78717659"/>
    <w:rsid w:val="78E8666B"/>
    <w:rsid w:val="79185EB7"/>
    <w:rsid w:val="793E7D5A"/>
    <w:rsid w:val="79520299"/>
    <w:rsid w:val="7ABE4E28"/>
    <w:rsid w:val="7AE93D0D"/>
    <w:rsid w:val="7D393008"/>
    <w:rsid w:val="7D4F20E1"/>
    <w:rsid w:val="7D5E49B7"/>
    <w:rsid w:val="7D99752A"/>
    <w:rsid w:val="7E797CFB"/>
    <w:rsid w:val="7F746919"/>
    <w:rsid w:val="7FBC6FF1"/>
    <w:rsid w:val="7FC00C10"/>
    <w:rsid w:val="7FD8724E"/>
  </w:rsids>
  <w:docVars>
    <w:docVar w:name="commondata" w:val="eyJoZGlkIjoiZjM0NjAxYjM1M2NjMmEwODRmMjZhMmJhMGY5NDNhYm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unhideWhenUsed="0" w:qFormat="1"/>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unhideWhenUsed="0" w:qFormat="1"/>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semiHidden="0" w:uiPriority="1" w:qFormat="1"/>
    <w:lsdException w:name="Body Text" w:semiHidden="0" w:uiPriority="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0"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ommentText">
    <w:name w:val="annotation text"/>
    <w:basedOn w:val="Normal"/>
    <w:semiHidden/>
    <w:qFormat/>
    <w:pPr>
      <w:jc w:val="left"/>
    </w:pPr>
  </w:style>
  <w:style w:type="paragraph" w:styleId="BodyText">
    <w:name w:val="Body Text"/>
    <w:basedOn w:val="Normal"/>
    <w:unhideWhenUsed/>
    <w:qFormat/>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nhideWhenUsed/>
    <w:qFormat/>
    <w:rPr>
      <w:sz w:val="24"/>
    </w:rPr>
  </w:style>
  <w:style w:type="paragraph" w:styleId="CommentSubject">
    <w:name w:val="annotation subject"/>
    <w:basedOn w:val="CommentText"/>
    <w:next w:val="CommentText"/>
    <w:semiHidden/>
    <w:qFormat/>
    <w:rPr>
      <w:b/>
      <w:bCs/>
    </w:rPr>
  </w:style>
  <w:style w:type="character" w:styleId="CommentReference">
    <w:name w:val="annotation reference"/>
    <w:semiHidden/>
    <w:qFormat/>
    <w:rPr>
      <w:sz w:val="21"/>
      <w:szCs w:val="21"/>
    </w:rPr>
  </w:style>
  <w:style w:type="paragraph" w:customStyle="1" w:styleId="Revision">
    <w:name w:val="Revision"/>
    <w:uiPriority w:val="99"/>
    <w:semiHidden/>
    <w:qFormat/>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17</Pages>
  <Words>5639</Words>
  <Characters>6140</Characters>
  <Application>Microsoft Office Word</Application>
  <DocSecurity>0</DocSecurity>
  <Lines>12</Lines>
  <Paragraphs>3</Paragraphs>
  <ScaleCrop>false</ScaleCrop>
  <Company>zhlx</Company>
  <LinksUpToDate>false</LinksUpToDate>
  <CharactersWithSpaces>6143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年部门预算编制说明</dc:title>
  <dc:creator>lx</dc:creator>
  <dc:description>ZHGenApp().GetProperty("Certification")</dc:description>
  <cp:lastModifiedBy>胖嘟嘟大王</cp:lastModifiedBy>
  <cp:revision>4</cp:revision>
  <cp:lastPrinted>2025-02-10T00:38:00Z</cp:lastPrinted>
  <dcterms:created xsi:type="dcterms:W3CDTF">2012-01-07T11:13:00Z</dcterms:created>
  <dcterms:modified xsi:type="dcterms:W3CDTF">2025-02-17T01:38:48Z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9A258AA4FC37432EADC383B749F35DB5</vt:lpwstr>
  </property>
  <property fmtid="{D5CDD505-2E9C-101B-9397-08002B2CF9AE}" pid="3" name="KSOProductBuildVer">
    <vt:lpwstr>2052-12.1.0.19770</vt:lpwstr>
  </property>
  <property fmtid="{D5CDD505-2E9C-101B-9397-08002B2CF9AE}" pid="4" name="KSOTemplateDocerSaveRecord">
    <vt:lpwstr>eyJoZGlkIjoiMzI4OWU4MGMzY2FmYTI1NTg0Yjk5ZGE3N2I3NWMxMzEiLCJ1c2VySWQiOiI0NTI1MzUxNDgifQ==</vt:lpwstr>
  </property>
</Properties>
</file>